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仿宋" w:hAnsi="仿宋" w:eastAsia="仿宋" w:cs="仿宋"/>
          <w:sz w:val="28"/>
          <w:szCs w:val="28"/>
        </w:rPr>
        <w:id w:val="147451079"/>
        <w15:color w:val="DBDBDB"/>
        <w:docPartObj>
          <w:docPartGallery w:val="Table of Contents"/>
          <w:docPartUnique/>
        </w:docPartObj>
      </w:sdtPr>
      <w:sdtEndPr>
        <w:rPr>
          <w:rFonts w:hint="eastAsia" w:ascii="仿宋" w:hAnsi="仿宋" w:eastAsia="仿宋" w:cs="仿宋"/>
          <w:sz w:val="28"/>
          <w:szCs w:val="28"/>
        </w:rPr>
      </w:sdtEndPr>
      <w:sdtContent>
        <w:p w14:paraId="3A80E86C">
          <w:pPr>
            <w:jc w:val="center"/>
            <w:rPr>
              <w:rFonts w:ascii="仿宋" w:hAnsi="仿宋" w:eastAsia="仿宋" w:cs="仿宋"/>
              <w:sz w:val="28"/>
              <w:szCs w:val="28"/>
            </w:rPr>
          </w:pPr>
        </w:p>
        <w:p w14:paraId="2880C104">
          <w:pPr>
            <w:jc w:val="center"/>
            <w:rPr>
              <w:rFonts w:ascii="仿宋" w:hAnsi="仿宋" w:eastAsia="仿宋" w:cs="仿宋"/>
              <w:sz w:val="28"/>
              <w:szCs w:val="28"/>
            </w:rPr>
          </w:pPr>
        </w:p>
        <w:p w14:paraId="543C6FC0">
          <w:pPr>
            <w:jc w:val="center"/>
            <w:rPr>
              <w:rFonts w:ascii="仿宋" w:hAnsi="仿宋" w:eastAsia="仿宋" w:cs="仿宋"/>
              <w:sz w:val="28"/>
              <w:szCs w:val="28"/>
            </w:rPr>
          </w:pPr>
        </w:p>
        <w:p w14:paraId="3703DD77">
          <w:pPr>
            <w:jc w:val="center"/>
            <w:rPr>
              <w:rFonts w:ascii="仿宋" w:hAnsi="仿宋" w:eastAsia="仿宋" w:cs="仿宋"/>
              <w:sz w:val="28"/>
              <w:szCs w:val="28"/>
            </w:rPr>
          </w:pPr>
        </w:p>
        <w:p w14:paraId="108D68D6">
          <w:pPr>
            <w:jc w:val="center"/>
            <w:rPr>
              <w:rFonts w:ascii="黑体" w:hAnsi="黑体" w:eastAsia="黑体" w:cs="黑体"/>
              <w:sz w:val="52"/>
              <w:szCs w:val="52"/>
            </w:rPr>
          </w:pPr>
          <w:r>
            <w:rPr>
              <w:rFonts w:hint="eastAsia" w:ascii="黑体" w:hAnsi="黑体" w:eastAsia="黑体" w:cs="黑体"/>
              <w:sz w:val="52"/>
              <w:szCs w:val="52"/>
            </w:rPr>
            <w:t>成都市住宅配用电建设技术标准</w:t>
          </w:r>
        </w:p>
        <w:p w14:paraId="0AE94045">
          <w:pPr>
            <w:jc w:val="center"/>
            <w:rPr>
              <w:rFonts w:ascii="仿宋" w:hAnsi="仿宋" w:eastAsia="仿宋" w:cs="仿宋"/>
              <w:sz w:val="28"/>
              <w:szCs w:val="28"/>
            </w:rPr>
          </w:pPr>
        </w:p>
        <w:p w14:paraId="762FECC4">
          <w:pPr>
            <w:jc w:val="center"/>
            <w:rPr>
              <w:rFonts w:ascii="仿宋" w:hAnsi="仿宋" w:eastAsia="仿宋" w:cs="仿宋"/>
              <w:sz w:val="28"/>
              <w:szCs w:val="28"/>
            </w:rPr>
          </w:pPr>
        </w:p>
        <w:p w14:paraId="205D3438">
          <w:pPr>
            <w:jc w:val="center"/>
            <w:rPr>
              <w:rFonts w:ascii="仿宋" w:hAnsi="仿宋" w:eastAsia="仿宋" w:cs="仿宋"/>
              <w:sz w:val="28"/>
              <w:szCs w:val="28"/>
            </w:rPr>
          </w:pPr>
        </w:p>
        <w:p w14:paraId="40554C6B">
          <w:pPr>
            <w:jc w:val="center"/>
            <w:rPr>
              <w:rFonts w:ascii="仿宋" w:hAnsi="仿宋" w:eastAsia="仿宋" w:cs="仿宋"/>
              <w:sz w:val="28"/>
              <w:szCs w:val="28"/>
            </w:rPr>
          </w:pPr>
        </w:p>
        <w:p w14:paraId="375E296A">
          <w:pPr>
            <w:jc w:val="center"/>
            <w:rPr>
              <w:rFonts w:ascii="仿宋" w:hAnsi="仿宋" w:eastAsia="仿宋" w:cs="仿宋"/>
              <w:sz w:val="28"/>
              <w:szCs w:val="28"/>
            </w:rPr>
          </w:pPr>
        </w:p>
        <w:p w14:paraId="597CD915">
          <w:pPr>
            <w:jc w:val="center"/>
            <w:rPr>
              <w:rFonts w:ascii="仿宋" w:hAnsi="仿宋" w:eastAsia="仿宋" w:cs="仿宋"/>
              <w:sz w:val="28"/>
              <w:szCs w:val="28"/>
            </w:rPr>
          </w:pPr>
        </w:p>
        <w:p w14:paraId="05FF4509">
          <w:pPr>
            <w:jc w:val="center"/>
            <w:rPr>
              <w:rFonts w:ascii="仿宋" w:hAnsi="仿宋" w:eastAsia="仿宋" w:cs="仿宋"/>
              <w:sz w:val="28"/>
              <w:szCs w:val="28"/>
            </w:rPr>
          </w:pPr>
        </w:p>
        <w:p w14:paraId="4E25CF3A">
          <w:pPr>
            <w:jc w:val="center"/>
            <w:rPr>
              <w:rFonts w:ascii="仿宋" w:hAnsi="仿宋" w:eastAsia="仿宋" w:cs="仿宋"/>
              <w:sz w:val="28"/>
              <w:szCs w:val="28"/>
            </w:rPr>
          </w:pPr>
        </w:p>
        <w:p w14:paraId="425347FB">
          <w:pPr>
            <w:jc w:val="center"/>
            <w:rPr>
              <w:rFonts w:ascii="仿宋" w:hAnsi="仿宋" w:eastAsia="仿宋" w:cs="仿宋"/>
              <w:sz w:val="28"/>
              <w:szCs w:val="28"/>
            </w:rPr>
          </w:pPr>
        </w:p>
        <w:p w14:paraId="19B4FD84">
          <w:pPr>
            <w:jc w:val="center"/>
            <w:rPr>
              <w:rFonts w:ascii="仿宋" w:hAnsi="仿宋" w:eastAsia="仿宋" w:cs="仿宋"/>
              <w:sz w:val="28"/>
              <w:szCs w:val="28"/>
            </w:rPr>
          </w:pPr>
        </w:p>
        <w:p w14:paraId="6B5B85C4">
          <w:pPr>
            <w:jc w:val="center"/>
            <w:rPr>
              <w:rFonts w:ascii="仿宋" w:hAnsi="仿宋" w:eastAsia="仿宋" w:cs="仿宋"/>
              <w:sz w:val="28"/>
              <w:szCs w:val="28"/>
            </w:rPr>
          </w:pPr>
        </w:p>
        <w:p w14:paraId="48F6EA60">
          <w:pPr>
            <w:jc w:val="center"/>
            <w:rPr>
              <w:rFonts w:ascii="仿宋" w:hAnsi="仿宋" w:eastAsia="仿宋" w:cs="仿宋"/>
              <w:sz w:val="28"/>
              <w:szCs w:val="28"/>
            </w:rPr>
          </w:pPr>
        </w:p>
        <w:p w14:paraId="0182E0A8">
          <w:pPr>
            <w:jc w:val="center"/>
            <w:rPr>
              <w:rFonts w:ascii="仿宋" w:hAnsi="仿宋" w:eastAsia="仿宋" w:cs="仿宋"/>
              <w:sz w:val="28"/>
              <w:szCs w:val="28"/>
            </w:rPr>
          </w:pPr>
        </w:p>
        <w:p w14:paraId="274E6C4C">
          <w:pPr>
            <w:jc w:val="center"/>
            <w:rPr>
              <w:rFonts w:ascii="仿宋" w:hAnsi="仿宋" w:eastAsia="仿宋" w:cs="仿宋"/>
              <w:sz w:val="28"/>
              <w:szCs w:val="28"/>
            </w:rPr>
          </w:pPr>
        </w:p>
        <w:p w14:paraId="53FA60B4">
          <w:pPr>
            <w:jc w:val="center"/>
            <w:rPr>
              <w:rFonts w:ascii="仿宋" w:hAnsi="仿宋" w:eastAsia="仿宋" w:cs="仿宋"/>
              <w:sz w:val="28"/>
              <w:szCs w:val="28"/>
            </w:rPr>
          </w:pPr>
        </w:p>
        <w:p w14:paraId="463687BD">
          <w:pPr>
            <w:jc w:val="center"/>
            <w:rPr>
              <w:rFonts w:ascii="仿宋" w:hAnsi="仿宋" w:eastAsia="仿宋" w:cs="仿宋"/>
              <w:sz w:val="28"/>
              <w:szCs w:val="28"/>
            </w:rPr>
          </w:pPr>
        </w:p>
        <w:p w14:paraId="179F165F">
          <w:pPr>
            <w:jc w:val="center"/>
            <w:rPr>
              <w:rFonts w:ascii="仿宋" w:hAnsi="仿宋" w:eastAsia="仿宋" w:cs="仿宋"/>
              <w:sz w:val="28"/>
              <w:szCs w:val="28"/>
            </w:rPr>
          </w:pPr>
        </w:p>
        <w:p w14:paraId="420FE840">
          <w:pPr>
            <w:jc w:val="center"/>
            <w:rPr>
              <w:rFonts w:hint="eastAsia" w:ascii="宋体" w:hAnsi="宋体" w:eastAsia="宋体" w:cs="宋体"/>
              <w:sz w:val="32"/>
              <w:szCs w:val="32"/>
            </w:rPr>
          </w:pPr>
          <w:r>
            <w:rPr>
              <w:rFonts w:hint="eastAsia" w:ascii="宋体" w:hAnsi="宋体" w:eastAsia="宋体" w:cs="宋体"/>
              <w:sz w:val="32"/>
              <w:szCs w:val="32"/>
            </w:rPr>
            <w:t>目录</w:t>
          </w:r>
        </w:p>
        <w:p w14:paraId="30C3F71F">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TOC \o "1-1" \h \u </w:instrText>
          </w:r>
          <w:r>
            <w:rPr>
              <w:rFonts w:hint="eastAsia" w:ascii="宋体" w:hAnsi="宋体" w:eastAsia="宋体" w:cs="宋体"/>
              <w:sz w:val="32"/>
              <w:szCs w:val="32"/>
            </w:rPr>
            <w:fldChar w:fldCharType="separate"/>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_Toc171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eastAsia="zh" w:bidi="ar"/>
            </w:rPr>
            <w:t>1 总则</w:t>
          </w:r>
          <w:r>
            <w:rPr>
              <w:sz w:val="32"/>
              <w:szCs w:val="32"/>
            </w:rPr>
            <w:tab/>
          </w:r>
          <w:r>
            <w:rPr>
              <w:sz w:val="32"/>
              <w:szCs w:val="32"/>
            </w:rPr>
            <w:fldChar w:fldCharType="begin"/>
          </w:r>
          <w:r>
            <w:rPr>
              <w:sz w:val="32"/>
              <w:szCs w:val="32"/>
            </w:rPr>
            <w:instrText xml:space="preserve"> PAGEREF _Toc171 \h </w:instrText>
          </w:r>
          <w:r>
            <w:rPr>
              <w:sz w:val="32"/>
              <w:szCs w:val="32"/>
            </w:rPr>
            <w:fldChar w:fldCharType="separate"/>
          </w:r>
          <w:r>
            <w:rPr>
              <w:sz w:val="32"/>
              <w:szCs w:val="32"/>
            </w:rPr>
            <w:t>2</w:t>
          </w:r>
          <w:r>
            <w:rPr>
              <w:sz w:val="32"/>
              <w:szCs w:val="32"/>
            </w:rPr>
            <w:fldChar w:fldCharType="end"/>
          </w:r>
          <w:r>
            <w:rPr>
              <w:rFonts w:hint="eastAsia" w:ascii="宋体" w:hAnsi="宋体" w:eastAsia="宋体" w:cs="宋体"/>
              <w:sz w:val="32"/>
              <w:szCs w:val="32"/>
            </w:rPr>
            <w:fldChar w:fldCharType="end"/>
          </w:r>
        </w:p>
        <w:p w14:paraId="7C1AFFC7">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_Toc6109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eastAsia="zh" w:bidi="ar"/>
            </w:rPr>
            <w:t>2</w:t>
          </w:r>
          <w:r>
            <w:rPr>
              <w:rFonts w:hint="eastAsia" w:ascii="宋体" w:hAnsi="宋体" w:eastAsia="宋体" w:cs="宋体"/>
              <w:bCs/>
              <w:spacing w:val="-6"/>
              <w:kern w:val="0"/>
              <w:sz w:val="32"/>
              <w:szCs w:val="32"/>
              <w:lang w:bidi="ar"/>
            </w:rPr>
            <w:t xml:space="preserve"> </w:t>
          </w:r>
          <w:r>
            <w:rPr>
              <w:rFonts w:hint="eastAsia" w:ascii="宋体" w:hAnsi="宋体" w:eastAsia="宋体" w:cs="宋体"/>
              <w:bCs/>
              <w:spacing w:val="-6"/>
              <w:kern w:val="0"/>
              <w:sz w:val="32"/>
              <w:szCs w:val="32"/>
              <w:lang w:eastAsia="zh" w:bidi="ar"/>
            </w:rPr>
            <w:t>术语</w:t>
          </w:r>
          <w:r>
            <w:rPr>
              <w:sz w:val="32"/>
              <w:szCs w:val="32"/>
            </w:rPr>
            <w:tab/>
          </w:r>
          <w:r>
            <w:rPr>
              <w:sz w:val="32"/>
              <w:szCs w:val="32"/>
            </w:rPr>
            <w:fldChar w:fldCharType="begin"/>
          </w:r>
          <w:r>
            <w:rPr>
              <w:sz w:val="32"/>
              <w:szCs w:val="32"/>
            </w:rPr>
            <w:instrText xml:space="preserve"> PAGEREF _Toc6109 \h </w:instrText>
          </w:r>
          <w:r>
            <w:rPr>
              <w:sz w:val="32"/>
              <w:szCs w:val="32"/>
            </w:rPr>
            <w:fldChar w:fldCharType="separate"/>
          </w:r>
          <w:r>
            <w:rPr>
              <w:sz w:val="32"/>
              <w:szCs w:val="32"/>
            </w:rPr>
            <w:t>3</w:t>
          </w:r>
          <w:r>
            <w:rPr>
              <w:sz w:val="32"/>
              <w:szCs w:val="32"/>
            </w:rPr>
            <w:fldChar w:fldCharType="end"/>
          </w:r>
          <w:r>
            <w:rPr>
              <w:rFonts w:hint="eastAsia" w:ascii="宋体" w:hAnsi="宋体" w:eastAsia="宋体" w:cs="宋体"/>
              <w:sz w:val="32"/>
              <w:szCs w:val="32"/>
            </w:rPr>
            <w:fldChar w:fldCharType="end"/>
          </w:r>
        </w:p>
        <w:p w14:paraId="5DD5FFB2">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_Toc2376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bidi="ar"/>
            </w:rPr>
            <w:t xml:space="preserve">3 </w:t>
          </w:r>
          <w:r>
            <w:rPr>
              <w:rFonts w:hint="eastAsia" w:ascii="宋体" w:hAnsi="宋体" w:eastAsia="宋体" w:cs="宋体"/>
              <w:bCs/>
              <w:spacing w:val="-6"/>
              <w:kern w:val="0"/>
              <w:sz w:val="32"/>
              <w:szCs w:val="32"/>
              <w:lang w:val="en-US" w:eastAsia="zh-CN" w:bidi="ar"/>
            </w:rPr>
            <w:t>基本规定</w:t>
          </w:r>
          <w:r>
            <w:rPr>
              <w:sz w:val="32"/>
              <w:szCs w:val="32"/>
            </w:rPr>
            <w:tab/>
          </w:r>
          <w:r>
            <w:rPr>
              <w:sz w:val="32"/>
              <w:szCs w:val="32"/>
            </w:rPr>
            <w:fldChar w:fldCharType="begin"/>
          </w:r>
          <w:r>
            <w:rPr>
              <w:sz w:val="32"/>
              <w:szCs w:val="32"/>
            </w:rPr>
            <w:instrText xml:space="preserve"> PAGEREF _Toc2376 \h </w:instrText>
          </w:r>
          <w:r>
            <w:rPr>
              <w:sz w:val="32"/>
              <w:szCs w:val="32"/>
            </w:rPr>
            <w:fldChar w:fldCharType="separate"/>
          </w:r>
          <w:r>
            <w:rPr>
              <w:sz w:val="32"/>
              <w:szCs w:val="32"/>
            </w:rPr>
            <w:t>5</w:t>
          </w:r>
          <w:r>
            <w:rPr>
              <w:sz w:val="32"/>
              <w:szCs w:val="32"/>
            </w:rPr>
            <w:fldChar w:fldCharType="end"/>
          </w:r>
          <w:r>
            <w:rPr>
              <w:rFonts w:hint="eastAsia" w:ascii="宋体" w:hAnsi="宋体" w:eastAsia="宋体" w:cs="宋体"/>
              <w:sz w:val="32"/>
              <w:szCs w:val="32"/>
            </w:rPr>
            <w:fldChar w:fldCharType="end"/>
          </w:r>
        </w:p>
        <w:p w14:paraId="1C3F4C24">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_Toc15477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val="en-US" w:eastAsia="zh-CN" w:bidi="ar"/>
            </w:rPr>
            <w:t xml:space="preserve">4 </w:t>
          </w:r>
          <w:r>
            <w:rPr>
              <w:rFonts w:hint="eastAsia" w:ascii="宋体" w:hAnsi="宋体" w:eastAsia="宋体" w:cs="宋体"/>
              <w:bCs/>
              <w:spacing w:val="-6"/>
              <w:kern w:val="0"/>
              <w:sz w:val="32"/>
              <w:szCs w:val="32"/>
              <w:lang w:bidi="ar"/>
            </w:rPr>
            <w:t>供配电系统</w:t>
          </w:r>
          <w:r>
            <w:rPr>
              <w:sz w:val="32"/>
              <w:szCs w:val="32"/>
            </w:rPr>
            <w:tab/>
          </w:r>
          <w:r>
            <w:rPr>
              <w:sz w:val="32"/>
              <w:szCs w:val="32"/>
            </w:rPr>
            <w:fldChar w:fldCharType="begin"/>
          </w:r>
          <w:r>
            <w:rPr>
              <w:sz w:val="32"/>
              <w:szCs w:val="32"/>
            </w:rPr>
            <w:instrText xml:space="preserve"> PAGEREF _Toc15477 \h </w:instrText>
          </w:r>
          <w:r>
            <w:rPr>
              <w:sz w:val="32"/>
              <w:szCs w:val="32"/>
            </w:rPr>
            <w:fldChar w:fldCharType="separate"/>
          </w:r>
          <w:r>
            <w:rPr>
              <w:sz w:val="32"/>
              <w:szCs w:val="32"/>
            </w:rPr>
            <w:t>6</w:t>
          </w:r>
          <w:r>
            <w:rPr>
              <w:sz w:val="32"/>
              <w:szCs w:val="32"/>
            </w:rPr>
            <w:fldChar w:fldCharType="end"/>
          </w:r>
          <w:r>
            <w:rPr>
              <w:rFonts w:hint="eastAsia" w:ascii="宋体" w:hAnsi="宋体" w:eastAsia="宋体" w:cs="宋体"/>
              <w:sz w:val="32"/>
              <w:szCs w:val="32"/>
            </w:rPr>
            <w:fldChar w:fldCharType="end"/>
          </w:r>
        </w:p>
        <w:p w14:paraId="458EC1B6">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_Toc18257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val="en-US" w:eastAsia="zh-CN" w:bidi="ar"/>
            </w:rPr>
            <w:t>5</w:t>
          </w:r>
          <w:r>
            <w:rPr>
              <w:rFonts w:hint="eastAsia" w:ascii="宋体" w:hAnsi="宋体" w:eastAsia="宋体" w:cs="宋体"/>
              <w:bCs/>
              <w:spacing w:val="-6"/>
              <w:kern w:val="0"/>
              <w:sz w:val="32"/>
              <w:szCs w:val="32"/>
              <w:lang w:bidi="ar"/>
            </w:rPr>
            <w:t xml:space="preserve"> </w:t>
          </w:r>
          <w:r>
            <w:rPr>
              <w:rFonts w:hint="eastAsia" w:ascii="宋体" w:hAnsi="宋体" w:eastAsia="宋体" w:cs="宋体"/>
              <w:bCs/>
              <w:spacing w:val="-6"/>
              <w:kern w:val="0"/>
              <w:sz w:val="32"/>
              <w:szCs w:val="32"/>
              <w:lang w:eastAsia="zh" w:bidi="ar"/>
            </w:rPr>
            <w:t>变电所</w:t>
          </w:r>
          <w:r>
            <w:rPr>
              <w:sz w:val="32"/>
              <w:szCs w:val="32"/>
            </w:rPr>
            <w:tab/>
          </w:r>
          <w:r>
            <w:rPr>
              <w:sz w:val="32"/>
              <w:szCs w:val="32"/>
            </w:rPr>
            <w:fldChar w:fldCharType="begin"/>
          </w:r>
          <w:r>
            <w:rPr>
              <w:sz w:val="32"/>
              <w:szCs w:val="32"/>
            </w:rPr>
            <w:instrText xml:space="preserve"> PAGEREF _Toc18257 \h </w:instrText>
          </w:r>
          <w:r>
            <w:rPr>
              <w:sz w:val="32"/>
              <w:szCs w:val="32"/>
            </w:rPr>
            <w:fldChar w:fldCharType="separate"/>
          </w:r>
          <w:r>
            <w:rPr>
              <w:sz w:val="32"/>
              <w:szCs w:val="32"/>
            </w:rPr>
            <w:t>12</w:t>
          </w:r>
          <w:r>
            <w:rPr>
              <w:sz w:val="32"/>
              <w:szCs w:val="32"/>
            </w:rPr>
            <w:fldChar w:fldCharType="end"/>
          </w:r>
          <w:r>
            <w:rPr>
              <w:rFonts w:hint="eastAsia" w:ascii="宋体" w:hAnsi="宋体" w:eastAsia="宋体" w:cs="宋体"/>
              <w:sz w:val="32"/>
              <w:szCs w:val="32"/>
            </w:rPr>
            <w:fldChar w:fldCharType="end"/>
          </w:r>
        </w:p>
        <w:p w14:paraId="37936621">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_Toc18818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bidi="ar"/>
            </w:rPr>
            <w:t>6 低压配电</w:t>
          </w:r>
          <w:r>
            <w:rPr>
              <w:sz w:val="32"/>
              <w:szCs w:val="32"/>
            </w:rPr>
            <w:tab/>
          </w:r>
          <w:r>
            <w:rPr>
              <w:sz w:val="32"/>
              <w:szCs w:val="32"/>
            </w:rPr>
            <w:fldChar w:fldCharType="begin"/>
          </w:r>
          <w:r>
            <w:rPr>
              <w:sz w:val="32"/>
              <w:szCs w:val="32"/>
            </w:rPr>
            <w:instrText xml:space="preserve"> PAGEREF _Toc18818 \h </w:instrText>
          </w:r>
          <w:r>
            <w:rPr>
              <w:sz w:val="32"/>
              <w:szCs w:val="32"/>
            </w:rPr>
            <w:fldChar w:fldCharType="separate"/>
          </w:r>
          <w:r>
            <w:rPr>
              <w:sz w:val="32"/>
              <w:szCs w:val="32"/>
            </w:rPr>
            <w:t>18</w:t>
          </w:r>
          <w:r>
            <w:rPr>
              <w:sz w:val="32"/>
              <w:szCs w:val="32"/>
            </w:rPr>
            <w:fldChar w:fldCharType="end"/>
          </w:r>
          <w:r>
            <w:rPr>
              <w:rFonts w:hint="eastAsia" w:ascii="宋体" w:hAnsi="宋体" w:eastAsia="宋体" w:cs="宋体"/>
              <w:sz w:val="32"/>
              <w:szCs w:val="32"/>
            </w:rPr>
            <w:fldChar w:fldCharType="end"/>
          </w:r>
        </w:p>
        <w:p w14:paraId="02377BB5">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_Toc27341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bidi="ar"/>
            </w:rPr>
            <w:t>7 配电线路布线系统</w:t>
          </w:r>
          <w:r>
            <w:rPr>
              <w:sz w:val="32"/>
              <w:szCs w:val="32"/>
            </w:rPr>
            <w:tab/>
          </w:r>
          <w:r>
            <w:rPr>
              <w:sz w:val="32"/>
              <w:szCs w:val="32"/>
            </w:rPr>
            <w:fldChar w:fldCharType="begin"/>
          </w:r>
          <w:r>
            <w:rPr>
              <w:sz w:val="32"/>
              <w:szCs w:val="32"/>
            </w:rPr>
            <w:instrText xml:space="preserve"> PAGEREF _Toc27341 \h </w:instrText>
          </w:r>
          <w:r>
            <w:rPr>
              <w:sz w:val="32"/>
              <w:szCs w:val="32"/>
            </w:rPr>
            <w:fldChar w:fldCharType="separate"/>
          </w:r>
          <w:r>
            <w:rPr>
              <w:sz w:val="32"/>
              <w:szCs w:val="32"/>
            </w:rPr>
            <w:t>27</w:t>
          </w:r>
          <w:r>
            <w:rPr>
              <w:sz w:val="32"/>
              <w:szCs w:val="32"/>
            </w:rPr>
            <w:fldChar w:fldCharType="end"/>
          </w:r>
          <w:r>
            <w:rPr>
              <w:rFonts w:hint="eastAsia" w:ascii="宋体" w:hAnsi="宋体" w:eastAsia="宋体" w:cs="宋体"/>
              <w:sz w:val="32"/>
              <w:szCs w:val="32"/>
            </w:rPr>
            <w:fldChar w:fldCharType="end"/>
          </w:r>
        </w:p>
        <w:p w14:paraId="568FE124">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_Toc7877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val="en-US" w:eastAsia="zh-CN" w:bidi="ar"/>
            </w:rPr>
            <w:t>8 建筑电气防火</w:t>
          </w:r>
          <w:r>
            <w:rPr>
              <w:sz w:val="32"/>
              <w:szCs w:val="32"/>
            </w:rPr>
            <w:tab/>
          </w:r>
          <w:r>
            <w:rPr>
              <w:sz w:val="32"/>
              <w:szCs w:val="32"/>
            </w:rPr>
            <w:fldChar w:fldCharType="begin"/>
          </w:r>
          <w:r>
            <w:rPr>
              <w:sz w:val="32"/>
              <w:szCs w:val="32"/>
            </w:rPr>
            <w:instrText xml:space="preserve"> PAGEREF _Toc7877 \h </w:instrText>
          </w:r>
          <w:r>
            <w:rPr>
              <w:sz w:val="32"/>
              <w:szCs w:val="32"/>
            </w:rPr>
            <w:fldChar w:fldCharType="separate"/>
          </w:r>
          <w:r>
            <w:rPr>
              <w:sz w:val="32"/>
              <w:szCs w:val="32"/>
            </w:rPr>
            <w:t>34</w:t>
          </w:r>
          <w:r>
            <w:rPr>
              <w:sz w:val="32"/>
              <w:szCs w:val="32"/>
            </w:rPr>
            <w:fldChar w:fldCharType="end"/>
          </w:r>
          <w:r>
            <w:rPr>
              <w:rFonts w:hint="eastAsia" w:ascii="宋体" w:hAnsi="宋体" w:eastAsia="宋体" w:cs="宋体"/>
              <w:sz w:val="32"/>
              <w:szCs w:val="32"/>
            </w:rPr>
            <w:fldChar w:fldCharType="end"/>
          </w:r>
        </w:p>
        <w:p w14:paraId="3EF5DEBA">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_Toc19715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val="en-US" w:eastAsia="zh-CN" w:bidi="ar"/>
            </w:rPr>
            <w:t>9</w:t>
          </w:r>
          <w:r>
            <w:rPr>
              <w:rFonts w:hint="eastAsia" w:ascii="宋体" w:hAnsi="宋体" w:eastAsia="宋体" w:cs="宋体"/>
              <w:bCs/>
              <w:spacing w:val="-6"/>
              <w:kern w:val="0"/>
              <w:sz w:val="32"/>
              <w:szCs w:val="32"/>
              <w:lang w:bidi="ar"/>
            </w:rPr>
            <w:t xml:space="preserve"> 电气</w:t>
          </w:r>
          <w:r>
            <w:rPr>
              <w:rFonts w:hint="eastAsia" w:ascii="宋体" w:hAnsi="宋体" w:eastAsia="宋体" w:cs="宋体"/>
              <w:bCs/>
              <w:spacing w:val="-6"/>
              <w:kern w:val="0"/>
              <w:sz w:val="32"/>
              <w:szCs w:val="32"/>
              <w:lang w:val="en-US" w:eastAsia="zh-CN" w:bidi="ar"/>
            </w:rPr>
            <w:t>节能与智慧管控</w:t>
          </w:r>
          <w:r>
            <w:rPr>
              <w:sz w:val="32"/>
              <w:szCs w:val="32"/>
            </w:rPr>
            <w:tab/>
          </w:r>
          <w:r>
            <w:rPr>
              <w:sz w:val="32"/>
              <w:szCs w:val="32"/>
            </w:rPr>
            <w:fldChar w:fldCharType="begin"/>
          </w:r>
          <w:r>
            <w:rPr>
              <w:sz w:val="32"/>
              <w:szCs w:val="32"/>
            </w:rPr>
            <w:instrText xml:space="preserve"> PAGEREF _Toc19715 \h </w:instrText>
          </w:r>
          <w:r>
            <w:rPr>
              <w:sz w:val="32"/>
              <w:szCs w:val="32"/>
            </w:rPr>
            <w:fldChar w:fldCharType="separate"/>
          </w:r>
          <w:r>
            <w:rPr>
              <w:sz w:val="32"/>
              <w:szCs w:val="32"/>
            </w:rPr>
            <w:t>39</w:t>
          </w:r>
          <w:r>
            <w:rPr>
              <w:sz w:val="32"/>
              <w:szCs w:val="32"/>
            </w:rPr>
            <w:fldChar w:fldCharType="end"/>
          </w:r>
          <w:r>
            <w:rPr>
              <w:rFonts w:hint="eastAsia" w:ascii="宋体" w:hAnsi="宋体" w:eastAsia="宋体" w:cs="宋体"/>
              <w:sz w:val="32"/>
              <w:szCs w:val="32"/>
            </w:rPr>
            <w:fldChar w:fldCharType="end"/>
          </w:r>
        </w:p>
        <w:p w14:paraId="426C0910">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_Toc28359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val="en-US" w:eastAsia="zh-CN" w:bidi="ar"/>
            </w:rPr>
            <w:t>10</w:t>
          </w:r>
          <w:r>
            <w:rPr>
              <w:rFonts w:hint="eastAsia" w:ascii="宋体" w:hAnsi="宋体" w:eastAsia="宋体" w:cs="宋体"/>
              <w:bCs/>
              <w:spacing w:val="-6"/>
              <w:kern w:val="0"/>
              <w:sz w:val="32"/>
              <w:szCs w:val="32"/>
              <w:lang w:bidi="ar"/>
            </w:rPr>
            <w:t xml:space="preserve"> </w:t>
          </w:r>
          <w:r>
            <w:rPr>
              <w:rFonts w:hint="eastAsia" w:ascii="宋体" w:hAnsi="宋体" w:eastAsia="宋体" w:cs="宋体"/>
              <w:bCs/>
              <w:spacing w:val="-6"/>
              <w:kern w:val="0"/>
              <w:sz w:val="32"/>
              <w:szCs w:val="32"/>
              <w:lang w:val="en-US" w:eastAsia="zh-CN" w:bidi="ar"/>
            </w:rPr>
            <w:t>充电设施接入及微电网</w:t>
          </w:r>
          <w:r>
            <w:rPr>
              <w:sz w:val="32"/>
              <w:szCs w:val="32"/>
            </w:rPr>
            <w:tab/>
          </w:r>
          <w:r>
            <w:rPr>
              <w:sz w:val="32"/>
              <w:szCs w:val="32"/>
            </w:rPr>
            <w:fldChar w:fldCharType="begin"/>
          </w:r>
          <w:r>
            <w:rPr>
              <w:sz w:val="32"/>
              <w:szCs w:val="32"/>
            </w:rPr>
            <w:instrText xml:space="preserve"> PAGEREF _Toc28359 \h </w:instrText>
          </w:r>
          <w:r>
            <w:rPr>
              <w:sz w:val="32"/>
              <w:szCs w:val="32"/>
            </w:rPr>
            <w:fldChar w:fldCharType="separate"/>
          </w:r>
          <w:r>
            <w:rPr>
              <w:sz w:val="32"/>
              <w:szCs w:val="32"/>
            </w:rPr>
            <w:t>41</w:t>
          </w:r>
          <w:r>
            <w:rPr>
              <w:sz w:val="32"/>
              <w:szCs w:val="32"/>
            </w:rPr>
            <w:fldChar w:fldCharType="end"/>
          </w:r>
          <w:r>
            <w:rPr>
              <w:rFonts w:hint="eastAsia" w:ascii="宋体" w:hAnsi="宋体" w:eastAsia="宋体" w:cs="宋体"/>
              <w:sz w:val="32"/>
              <w:szCs w:val="32"/>
            </w:rPr>
            <w:fldChar w:fldCharType="end"/>
          </w:r>
        </w:p>
        <w:p w14:paraId="21C7516F">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_Toc9009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val="en-US" w:eastAsia="zh-CN" w:bidi="ar"/>
            </w:rPr>
            <w:t>11</w:t>
          </w:r>
          <w:r>
            <w:rPr>
              <w:rFonts w:hint="eastAsia" w:ascii="宋体" w:hAnsi="宋体" w:eastAsia="宋体" w:cs="宋体"/>
              <w:bCs/>
              <w:spacing w:val="-6"/>
              <w:kern w:val="0"/>
              <w:sz w:val="32"/>
              <w:szCs w:val="32"/>
              <w:lang w:bidi="ar"/>
            </w:rPr>
            <w:t xml:space="preserve"> </w:t>
          </w:r>
          <w:r>
            <w:rPr>
              <w:rFonts w:hint="eastAsia" w:ascii="宋体" w:hAnsi="宋体" w:eastAsia="宋体" w:cs="宋体"/>
              <w:bCs/>
              <w:spacing w:val="-6"/>
              <w:kern w:val="0"/>
              <w:sz w:val="32"/>
              <w:szCs w:val="32"/>
              <w:lang w:val="en-US" w:eastAsia="zh-CN" w:bidi="ar"/>
            </w:rPr>
            <w:t>施工和验收</w:t>
          </w:r>
          <w:r>
            <w:rPr>
              <w:sz w:val="32"/>
              <w:szCs w:val="32"/>
            </w:rPr>
            <w:tab/>
          </w:r>
          <w:r>
            <w:rPr>
              <w:sz w:val="32"/>
              <w:szCs w:val="32"/>
            </w:rPr>
            <w:fldChar w:fldCharType="begin"/>
          </w:r>
          <w:r>
            <w:rPr>
              <w:sz w:val="32"/>
              <w:szCs w:val="32"/>
            </w:rPr>
            <w:instrText xml:space="preserve"> PAGEREF _Toc9009 \h </w:instrText>
          </w:r>
          <w:r>
            <w:rPr>
              <w:sz w:val="32"/>
              <w:szCs w:val="32"/>
            </w:rPr>
            <w:fldChar w:fldCharType="separate"/>
          </w:r>
          <w:r>
            <w:rPr>
              <w:sz w:val="32"/>
              <w:szCs w:val="32"/>
            </w:rPr>
            <w:t>47</w:t>
          </w:r>
          <w:r>
            <w:rPr>
              <w:sz w:val="32"/>
              <w:szCs w:val="32"/>
            </w:rPr>
            <w:fldChar w:fldCharType="end"/>
          </w:r>
          <w:r>
            <w:rPr>
              <w:rFonts w:hint="eastAsia" w:ascii="宋体" w:hAnsi="宋体" w:eastAsia="宋体" w:cs="宋体"/>
              <w:sz w:val="32"/>
              <w:szCs w:val="32"/>
            </w:rPr>
            <w:fldChar w:fldCharType="end"/>
          </w:r>
        </w:p>
        <w:p w14:paraId="1CA3CBB2">
          <w:pPr>
            <w:pStyle w:val="7"/>
            <w:tabs>
              <w:tab w:val="right" w:leader="dot" w:pos="8306"/>
            </w:tabs>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_Toc6977 </w:instrText>
          </w:r>
          <w:r>
            <w:rPr>
              <w:rFonts w:hint="eastAsia" w:ascii="宋体" w:hAnsi="宋体" w:eastAsia="宋体" w:cs="宋体"/>
              <w:sz w:val="32"/>
              <w:szCs w:val="32"/>
            </w:rPr>
            <w:fldChar w:fldCharType="separate"/>
          </w:r>
          <w:r>
            <w:rPr>
              <w:rFonts w:hint="eastAsia" w:ascii="宋体" w:hAnsi="宋体" w:eastAsia="宋体" w:cs="宋体"/>
              <w:bCs/>
              <w:spacing w:val="-6"/>
              <w:kern w:val="0"/>
              <w:sz w:val="32"/>
              <w:szCs w:val="32"/>
              <w:lang w:val="en-US" w:eastAsia="zh-CN" w:bidi="ar"/>
            </w:rPr>
            <w:t>12 运行维护</w:t>
          </w:r>
          <w:r>
            <w:rPr>
              <w:sz w:val="32"/>
              <w:szCs w:val="32"/>
            </w:rPr>
            <w:tab/>
          </w:r>
          <w:r>
            <w:rPr>
              <w:sz w:val="32"/>
              <w:szCs w:val="32"/>
            </w:rPr>
            <w:fldChar w:fldCharType="begin"/>
          </w:r>
          <w:r>
            <w:rPr>
              <w:sz w:val="32"/>
              <w:szCs w:val="32"/>
            </w:rPr>
            <w:instrText xml:space="preserve"> PAGEREF _Toc6977 \h </w:instrText>
          </w:r>
          <w:r>
            <w:rPr>
              <w:sz w:val="32"/>
              <w:szCs w:val="32"/>
            </w:rPr>
            <w:fldChar w:fldCharType="separate"/>
          </w:r>
          <w:r>
            <w:rPr>
              <w:sz w:val="32"/>
              <w:szCs w:val="32"/>
            </w:rPr>
            <w:t>49</w:t>
          </w:r>
          <w:r>
            <w:rPr>
              <w:sz w:val="32"/>
              <w:szCs w:val="32"/>
            </w:rPr>
            <w:fldChar w:fldCharType="end"/>
          </w:r>
          <w:r>
            <w:rPr>
              <w:rFonts w:hint="eastAsia" w:ascii="宋体" w:hAnsi="宋体" w:eastAsia="宋体" w:cs="宋体"/>
              <w:sz w:val="32"/>
              <w:szCs w:val="32"/>
            </w:rPr>
            <w:fldChar w:fldCharType="end"/>
          </w:r>
        </w:p>
        <w:p w14:paraId="141CA1B4">
          <w:r>
            <w:rPr>
              <w:rFonts w:hint="eastAsia" w:ascii="宋体" w:hAnsi="宋体" w:eastAsia="宋体" w:cs="宋体"/>
              <w:sz w:val="32"/>
              <w:szCs w:val="32"/>
            </w:rPr>
            <w:fldChar w:fldCharType="end"/>
          </w:r>
        </w:p>
      </w:sdtContent>
    </w:sdt>
    <w:p w14:paraId="17FD9793"/>
    <w:p w14:paraId="18216318"/>
    <w:p w14:paraId="74FBCA3E"/>
    <w:p w14:paraId="354D0F94"/>
    <w:p w14:paraId="539EDAD4"/>
    <w:p w14:paraId="2BCC5C9E"/>
    <w:p w14:paraId="38816DCB"/>
    <w:p w14:paraId="31169305"/>
    <w:p w14:paraId="6EAA22D7"/>
    <w:p w14:paraId="2FCFA1F7"/>
    <w:p w14:paraId="4001E9B7"/>
    <w:p w14:paraId="55DA1842"/>
    <w:p w14:paraId="7F467661"/>
    <w:p w14:paraId="33B49A3A"/>
    <w:p w14:paraId="4E97F01E"/>
    <w:p w14:paraId="063C9C30">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eastAsia="zh" w:bidi="ar"/>
        </w:rPr>
      </w:pPr>
      <w:bookmarkStart w:id="0" w:name="_Toc171"/>
      <w:r>
        <w:rPr>
          <w:rFonts w:hint="eastAsia" w:ascii="宋体" w:hAnsi="宋体" w:eastAsia="宋体" w:cs="宋体"/>
          <w:b/>
          <w:bCs/>
          <w:color w:val="000000"/>
          <w:spacing w:val="-6"/>
          <w:kern w:val="0"/>
          <w:sz w:val="32"/>
          <w:szCs w:val="32"/>
          <w:lang w:eastAsia="zh" w:bidi="ar"/>
        </w:rPr>
        <w:t>1 总则</w:t>
      </w:r>
      <w:bookmarkEnd w:id="0"/>
    </w:p>
    <w:p w14:paraId="41707548">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1.0.1 为适应人民生活水平日益增长的需要，提高城镇住宅设计水平，满足居民用户的安全可靠</w:t>
      </w:r>
      <w:r>
        <w:rPr>
          <w:rFonts w:hint="eastAsia" w:ascii="宋体" w:hAnsi="宋体" w:eastAsia="宋体" w:cs="宋体"/>
          <w:spacing w:val="6"/>
          <w:sz w:val="32"/>
          <w:szCs w:val="32"/>
          <w:lang w:val="en-US" w:eastAsia="zh-CN" w:bidi="ar"/>
        </w:rPr>
        <w:t>供配电</w:t>
      </w:r>
      <w:r>
        <w:rPr>
          <w:rFonts w:hint="eastAsia" w:ascii="宋体" w:hAnsi="宋体" w:eastAsia="宋体" w:cs="宋体"/>
          <w:spacing w:val="6"/>
          <w:sz w:val="32"/>
          <w:szCs w:val="32"/>
          <w:lang w:eastAsia="zh" w:bidi="ar"/>
        </w:rPr>
        <w:t>及多样化智慧用电需求,制定本标准。</w:t>
      </w:r>
    </w:p>
    <w:p w14:paraId="7C5DBA62">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1.0.2 本标准</w:t>
      </w:r>
      <w:r>
        <w:rPr>
          <w:rFonts w:hint="eastAsia" w:ascii="宋体" w:hAnsi="宋体" w:eastAsia="宋体" w:cs="宋体"/>
          <w:spacing w:val="6"/>
          <w:sz w:val="32"/>
          <w:szCs w:val="32"/>
          <w:lang w:val="en-US" w:eastAsia="zh-CN" w:bidi="ar"/>
        </w:rPr>
        <w:t>适用于</w:t>
      </w:r>
      <w:r>
        <w:rPr>
          <w:rFonts w:hint="eastAsia" w:ascii="宋体" w:hAnsi="宋体" w:eastAsia="宋体" w:cs="宋体"/>
          <w:spacing w:val="6"/>
          <w:sz w:val="32"/>
          <w:szCs w:val="32"/>
          <w:lang w:eastAsia="zh" w:bidi="ar"/>
        </w:rPr>
        <w:t>成都市内新建住宅的供配电设施建设，改建、扩建的供配电设施建设可参照本标准执行。</w:t>
      </w:r>
    </w:p>
    <w:p w14:paraId="40DFE475">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1.0.3 住宅</w:t>
      </w:r>
      <w:r>
        <w:rPr>
          <w:rFonts w:hint="eastAsia" w:ascii="宋体" w:hAnsi="宋体" w:eastAsia="宋体" w:cs="宋体"/>
          <w:spacing w:val="6"/>
          <w:sz w:val="32"/>
          <w:szCs w:val="32"/>
          <w:lang w:eastAsia="zh" w:bidi="ar"/>
          <w:woUserID w:val="1"/>
        </w:rPr>
        <w:t>建筑</w:t>
      </w:r>
      <w:r>
        <w:rPr>
          <w:rFonts w:hint="eastAsia" w:ascii="宋体" w:hAnsi="宋体" w:eastAsia="宋体" w:cs="宋体"/>
          <w:spacing w:val="6"/>
          <w:sz w:val="32"/>
          <w:szCs w:val="32"/>
          <w:lang w:eastAsia="zh" w:bidi="ar"/>
        </w:rPr>
        <w:t>的供配电设施建设应实现规范化、标准化、模块化，设备选型执行国家及行业相关技术标准 ，采用运行安全可靠、技术先进、维护方便、操作简单、节能环保的设备，工程建设质量应满足国家和行业质量验收标准。</w:t>
      </w:r>
    </w:p>
    <w:p w14:paraId="2E4E8455">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1.0.4 住宅</w:t>
      </w:r>
      <w:r>
        <w:rPr>
          <w:rFonts w:hint="eastAsia" w:ascii="宋体" w:hAnsi="宋体" w:eastAsia="宋体" w:cs="宋体"/>
          <w:spacing w:val="6"/>
          <w:sz w:val="32"/>
          <w:szCs w:val="32"/>
          <w:lang w:bidi="ar"/>
        </w:rPr>
        <w:t>电气</w:t>
      </w:r>
      <w:r>
        <w:rPr>
          <w:rFonts w:hint="eastAsia" w:ascii="宋体" w:hAnsi="宋体" w:eastAsia="宋体" w:cs="宋体"/>
          <w:spacing w:val="6"/>
          <w:sz w:val="32"/>
          <w:szCs w:val="32"/>
          <w:lang w:val="en-US" w:eastAsia="zh-CN" w:bidi="ar"/>
        </w:rPr>
        <w:t>配用电建设</w:t>
      </w:r>
      <w:r>
        <w:rPr>
          <w:rFonts w:hint="eastAsia" w:ascii="宋体" w:hAnsi="宋体" w:eastAsia="宋体" w:cs="宋体"/>
          <w:spacing w:val="6"/>
          <w:sz w:val="32"/>
          <w:szCs w:val="32"/>
          <w:lang w:eastAsia="zh" w:bidi="ar"/>
        </w:rPr>
        <w:t>除应执行本标准外，尚应符合国家和</w:t>
      </w:r>
      <w:r>
        <w:rPr>
          <w:rFonts w:hint="eastAsia" w:ascii="宋体" w:hAnsi="宋体" w:eastAsia="宋体" w:cs="宋体"/>
          <w:spacing w:val="6"/>
          <w:sz w:val="32"/>
          <w:szCs w:val="32"/>
          <w:lang w:val="en-US" w:eastAsia="zh-CN" w:bidi="ar"/>
        </w:rPr>
        <w:t>地方</w:t>
      </w:r>
      <w:r>
        <w:rPr>
          <w:rFonts w:hint="eastAsia" w:ascii="宋体" w:hAnsi="宋体" w:eastAsia="宋体" w:cs="宋体"/>
          <w:spacing w:val="6"/>
          <w:sz w:val="32"/>
          <w:szCs w:val="32"/>
          <w:lang w:eastAsia="zh" w:bidi="ar"/>
        </w:rPr>
        <w:t>现行有关标准的规定。</w:t>
      </w:r>
    </w:p>
    <w:p w14:paraId="421F2179">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3ADBDADC">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1CDD3448">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2210F207">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2A26BDB0">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206422E9">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03D4C296">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1E07188E">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167E49FA">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186060DA">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788FF0D4">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4147D220">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kern w:val="0"/>
          <w:sz w:val="32"/>
          <w:szCs w:val="32"/>
          <w:lang w:eastAsia="zh" w:bidi="ar"/>
        </w:rPr>
      </w:pPr>
    </w:p>
    <w:p w14:paraId="7943BACD">
      <w:pPr>
        <w:widowControl/>
        <w:numPr>
          <w:ilvl w:val="1"/>
          <w:numId w:val="0"/>
        </w:numPr>
        <w:kinsoku w:val="0"/>
        <w:autoSpaceDE w:val="0"/>
        <w:autoSpaceDN w:val="0"/>
        <w:adjustRightInd w:val="0"/>
        <w:snapToGrid w:val="0"/>
        <w:spacing w:line="560" w:lineRule="exact"/>
        <w:jc w:val="left"/>
        <w:textAlignment w:val="baseline"/>
        <w:rPr>
          <w:rFonts w:ascii="仿宋" w:hAnsi="仿宋" w:eastAsia="仿宋" w:cs="仿宋"/>
          <w:b/>
          <w:bCs/>
          <w:color w:val="000000"/>
          <w:spacing w:val="-6"/>
          <w:kern w:val="0"/>
          <w:sz w:val="32"/>
          <w:szCs w:val="32"/>
          <w:lang w:eastAsia="zh" w:bidi="ar"/>
        </w:rPr>
      </w:pPr>
    </w:p>
    <w:p w14:paraId="4DE41BBB">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eastAsia="zh" w:bidi="ar"/>
        </w:rPr>
      </w:pPr>
      <w:bookmarkStart w:id="1" w:name="_Toc6109"/>
      <w:r>
        <w:rPr>
          <w:rFonts w:hint="eastAsia" w:ascii="宋体" w:hAnsi="宋体" w:eastAsia="宋体" w:cs="宋体"/>
          <w:b/>
          <w:bCs/>
          <w:color w:val="000000"/>
          <w:spacing w:val="-6"/>
          <w:kern w:val="0"/>
          <w:sz w:val="32"/>
          <w:szCs w:val="32"/>
          <w:lang w:eastAsia="zh" w:bidi="ar"/>
        </w:rPr>
        <w:t>2</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eastAsia="zh" w:bidi="ar"/>
        </w:rPr>
        <w:t>术语</w:t>
      </w:r>
      <w:bookmarkEnd w:id="1"/>
    </w:p>
    <w:p w14:paraId="30D60398">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2.1 住宅建筑 residential building</w:t>
      </w:r>
    </w:p>
    <w:p w14:paraId="7BABE9D3">
      <w:pPr>
        <w:widowControl/>
        <w:numPr>
          <w:ilvl w:val="1"/>
          <w:numId w:val="0"/>
        </w:numPr>
        <w:kinsoku w:val="0"/>
        <w:autoSpaceDE w:val="0"/>
        <w:autoSpaceDN w:val="0"/>
        <w:adjustRightInd w:val="0"/>
        <w:snapToGrid w:val="0"/>
        <w:spacing w:line="560" w:lineRule="exact"/>
        <w:ind w:firstLine="664" w:firstLineChars="200"/>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供家庭居住使用的建筑（含与其功能空间处于同一建筑中的住宅部分），简称住宅。</w:t>
      </w:r>
    </w:p>
    <w:p w14:paraId="5EF7E7C9">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 xml:space="preserve">2.2 户外环网箱 </w:t>
      </w:r>
      <w:r>
        <w:rPr>
          <w:rFonts w:hint="eastAsia" w:ascii="宋体" w:hAnsi="宋体" w:eastAsia="宋体" w:cs="宋体"/>
          <w:spacing w:val="6"/>
          <w:sz w:val="32"/>
          <w:szCs w:val="32"/>
          <w:lang w:val="en-US" w:eastAsia="zh" w:bidi="ar"/>
        </w:rPr>
        <w:t>outdoor ring main unit</w:t>
      </w:r>
    </w:p>
    <w:p w14:paraId="18253B77">
      <w:pPr>
        <w:widowControl/>
        <w:numPr>
          <w:ilvl w:val="1"/>
          <w:numId w:val="0"/>
        </w:numPr>
        <w:kinsoku w:val="0"/>
        <w:autoSpaceDE w:val="0"/>
        <w:autoSpaceDN w:val="0"/>
        <w:adjustRightInd w:val="0"/>
        <w:snapToGrid w:val="0"/>
        <w:spacing w:line="560" w:lineRule="exact"/>
        <w:ind w:firstLine="664" w:firstLineChars="200"/>
        <w:jc w:val="left"/>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eastAsia="zh" w:bidi="ar"/>
        </w:rPr>
        <w:t>安装于户外、由多面环网柜组成、有外箱壳防护，用于10kV电缆线路环进环出及分接负荷、且不含配电变压器的配电设施。</w:t>
      </w:r>
      <w:r>
        <w:rPr>
          <w:rFonts w:hint="eastAsia" w:ascii="宋体" w:hAnsi="宋体" w:eastAsia="宋体" w:cs="宋体"/>
          <w:spacing w:val="6"/>
          <w:sz w:val="32"/>
          <w:szCs w:val="32"/>
          <w:lang w:bidi="ar"/>
        </w:rPr>
        <w:t>（简称环网箱）</w:t>
      </w:r>
    </w:p>
    <w:p w14:paraId="6B8C934C">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2.3 环网柜 ring main unit</w:t>
      </w:r>
    </w:p>
    <w:p w14:paraId="3DBF1543">
      <w:pPr>
        <w:widowControl/>
        <w:numPr>
          <w:ilvl w:val="1"/>
          <w:numId w:val="0"/>
        </w:numPr>
        <w:kinsoku w:val="0"/>
        <w:autoSpaceDE w:val="0"/>
        <w:autoSpaceDN w:val="0"/>
        <w:adjustRightInd w:val="0"/>
        <w:snapToGrid w:val="0"/>
        <w:spacing w:line="560" w:lineRule="exact"/>
        <w:ind w:firstLine="664" w:firstLineChars="200"/>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也称环网单元，用于中压电缆线路分段、联络及分接负荷。按使用场所可分为户内环网单元和户外环网单元:按结构可分为整体式和间隔式。</w:t>
      </w:r>
    </w:p>
    <w:p w14:paraId="42ECE527">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highlight w:val="none"/>
          <w:lang w:eastAsia="zh" w:bidi="ar"/>
        </w:rPr>
      </w:pPr>
      <w:r>
        <w:rPr>
          <w:rFonts w:hint="eastAsia" w:ascii="宋体" w:hAnsi="宋体" w:eastAsia="宋体" w:cs="宋体"/>
          <w:spacing w:val="6"/>
          <w:sz w:val="32"/>
          <w:szCs w:val="32"/>
          <w:highlight w:val="none"/>
          <w:lang w:eastAsia="zh" w:bidi="ar"/>
        </w:rPr>
        <w:t>2.</w:t>
      </w:r>
      <w:r>
        <w:rPr>
          <w:rFonts w:hint="eastAsia" w:ascii="宋体" w:hAnsi="宋体" w:eastAsia="宋体" w:cs="宋体"/>
          <w:spacing w:val="6"/>
          <w:sz w:val="32"/>
          <w:szCs w:val="32"/>
          <w:highlight w:val="none"/>
          <w:lang w:val="en-US" w:eastAsia="zh-CN" w:bidi="ar"/>
        </w:rPr>
        <w:t>4</w:t>
      </w:r>
      <w:r>
        <w:rPr>
          <w:rFonts w:hint="eastAsia" w:ascii="宋体" w:hAnsi="宋体" w:eastAsia="宋体" w:cs="宋体"/>
          <w:spacing w:val="6"/>
          <w:sz w:val="32"/>
          <w:szCs w:val="32"/>
          <w:highlight w:val="none"/>
          <w:lang w:eastAsia="zh" w:bidi="ar"/>
        </w:rPr>
        <w:t xml:space="preserve"> </w:t>
      </w:r>
      <w:r>
        <w:rPr>
          <w:rFonts w:hint="eastAsia" w:ascii="宋体" w:hAnsi="宋体" w:eastAsia="宋体" w:cs="宋体"/>
          <w:spacing w:val="6"/>
          <w:sz w:val="32"/>
          <w:szCs w:val="32"/>
          <w:highlight w:val="none"/>
          <w:lang w:val="en-US" w:eastAsia="zh-CN" w:bidi="ar"/>
        </w:rPr>
        <w:t xml:space="preserve"> 10kV</w:t>
      </w:r>
      <w:r>
        <w:rPr>
          <w:rFonts w:hint="eastAsia" w:ascii="宋体" w:hAnsi="宋体" w:eastAsia="宋体" w:cs="宋体"/>
          <w:spacing w:val="6"/>
          <w:sz w:val="32"/>
          <w:szCs w:val="32"/>
          <w:highlight w:val="none"/>
          <w:lang w:eastAsia="zh" w:bidi="ar"/>
        </w:rPr>
        <w:t xml:space="preserve">开关站 </w:t>
      </w:r>
      <w:r>
        <w:rPr>
          <w:rFonts w:hint="eastAsia" w:ascii="宋体" w:hAnsi="宋体" w:eastAsia="宋体" w:cs="宋体"/>
          <w:spacing w:val="6"/>
          <w:sz w:val="32"/>
          <w:szCs w:val="32"/>
          <w:highlight w:val="none"/>
          <w:lang w:val="en-US" w:eastAsia="zh-CN" w:bidi="ar"/>
        </w:rPr>
        <w:t>10kV</w:t>
      </w:r>
      <w:r>
        <w:rPr>
          <w:rFonts w:hint="eastAsia" w:ascii="宋体" w:hAnsi="宋体" w:eastAsia="宋体" w:cs="宋体"/>
          <w:spacing w:val="6"/>
          <w:sz w:val="32"/>
          <w:szCs w:val="32"/>
          <w:highlight w:val="none"/>
          <w:lang w:eastAsia="zh" w:bidi="ar"/>
        </w:rPr>
        <w:t xml:space="preserve"> switching station</w:t>
      </w:r>
    </w:p>
    <w:p w14:paraId="4321A471">
      <w:pPr>
        <w:widowControl/>
        <w:numPr>
          <w:ilvl w:val="1"/>
          <w:numId w:val="0"/>
        </w:numPr>
        <w:kinsoku w:val="0"/>
        <w:autoSpaceDE w:val="0"/>
        <w:autoSpaceDN w:val="0"/>
        <w:adjustRightInd w:val="0"/>
        <w:snapToGrid w:val="0"/>
        <w:spacing w:line="560" w:lineRule="exact"/>
        <w:ind w:firstLine="664" w:firstLineChars="200"/>
        <w:jc w:val="left"/>
        <w:textAlignment w:val="baseline"/>
        <w:rPr>
          <w:rFonts w:hint="eastAsia" w:ascii="宋体" w:hAnsi="宋体" w:eastAsia="宋体" w:cs="宋体"/>
          <w:spacing w:val="6"/>
          <w:sz w:val="32"/>
          <w:szCs w:val="32"/>
          <w:highlight w:val="none"/>
          <w:lang w:eastAsia="zh" w:bidi="ar"/>
        </w:rPr>
      </w:pPr>
      <w:r>
        <w:rPr>
          <w:rFonts w:hint="eastAsia" w:ascii="宋体" w:hAnsi="宋体" w:eastAsia="宋体" w:cs="宋体"/>
          <w:spacing w:val="6"/>
          <w:sz w:val="32"/>
          <w:szCs w:val="32"/>
          <w:highlight w:val="none"/>
          <w:lang w:eastAsia="zh" w:bidi="ar"/>
        </w:rPr>
        <w:t>一般由上级变电站直供、出线配置带保护功能的断路器、对功率进行再分配的配电设备及土建设施的总称，相当于变电站母线的延伸。开关站进线一般为两路电源，设母联开关。</w:t>
      </w:r>
    </w:p>
    <w:p w14:paraId="147A4D26">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val="en-US" w:eastAsia="zh-CN" w:bidi="ar"/>
        </w:rPr>
        <w:t>5</w:t>
      </w:r>
      <w:r>
        <w:rPr>
          <w:rFonts w:hint="eastAsia" w:ascii="宋体" w:hAnsi="宋体" w:eastAsia="宋体" w:cs="宋体"/>
          <w:spacing w:val="6"/>
          <w:sz w:val="32"/>
          <w:szCs w:val="32"/>
          <w:lang w:eastAsia="zh" w:bidi="ar"/>
        </w:rPr>
        <w:t xml:space="preserve"> 配电变压器(istribution transformer)</w:t>
      </w:r>
    </w:p>
    <w:p w14:paraId="1AA7D02F">
      <w:pPr>
        <w:widowControl/>
        <w:numPr>
          <w:ilvl w:val="1"/>
          <w:numId w:val="0"/>
        </w:numPr>
        <w:kinsoku w:val="0"/>
        <w:autoSpaceDE w:val="0"/>
        <w:autoSpaceDN w:val="0"/>
        <w:adjustRightInd w:val="0"/>
        <w:snapToGrid w:val="0"/>
        <w:spacing w:line="560" w:lineRule="exact"/>
        <w:ind w:firstLine="664" w:firstLineChars="200"/>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将10</w:t>
      </w:r>
      <w:r>
        <w:rPr>
          <w:rFonts w:hint="eastAsia" w:ascii="宋体" w:hAnsi="宋体" w:eastAsia="宋体" w:cs="宋体"/>
          <w:spacing w:val="6"/>
          <w:sz w:val="32"/>
          <w:szCs w:val="32"/>
          <w:lang w:bidi="ar"/>
        </w:rPr>
        <w:t>kV</w:t>
      </w:r>
      <w:r>
        <w:rPr>
          <w:rFonts w:hint="eastAsia" w:ascii="宋体" w:hAnsi="宋体" w:eastAsia="宋体" w:cs="宋体"/>
          <w:spacing w:val="6"/>
          <w:sz w:val="32"/>
          <w:szCs w:val="32"/>
          <w:lang w:eastAsia="zh" w:bidi="ar"/>
        </w:rPr>
        <w:t>电压等级变压成为400</w:t>
      </w:r>
      <w:r>
        <w:rPr>
          <w:rFonts w:hint="eastAsia" w:ascii="宋体" w:hAnsi="宋体" w:eastAsia="宋体" w:cs="宋体"/>
          <w:spacing w:val="6"/>
          <w:sz w:val="32"/>
          <w:szCs w:val="32"/>
          <w:lang w:bidi="ar"/>
        </w:rPr>
        <w:t>V</w:t>
      </w:r>
      <w:r>
        <w:rPr>
          <w:rFonts w:hint="eastAsia" w:ascii="宋体" w:hAnsi="宋体" w:eastAsia="宋体" w:cs="宋体"/>
          <w:spacing w:val="6"/>
          <w:sz w:val="32"/>
          <w:szCs w:val="32"/>
          <w:lang w:eastAsia="zh" w:bidi="ar"/>
        </w:rPr>
        <w:t>电压等级的配电设备，简称配变，按绝缘材料可分为油浸式配电变压器(简称油变)、干式配电变压器(简称干变)。</w:t>
      </w:r>
    </w:p>
    <w:p w14:paraId="51755ABB">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val="en-US" w:eastAsia="zh-CN" w:bidi="ar"/>
        </w:rPr>
        <w:t>6</w:t>
      </w:r>
      <w:r>
        <w:rPr>
          <w:rFonts w:hint="eastAsia" w:ascii="宋体" w:hAnsi="宋体" w:eastAsia="宋体" w:cs="宋体"/>
          <w:spacing w:val="6"/>
          <w:sz w:val="32"/>
          <w:szCs w:val="32"/>
          <w:lang w:bidi="ar"/>
        </w:rPr>
        <w:t xml:space="preserve">  </w:t>
      </w:r>
      <w:r>
        <w:rPr>
          <w:rFonts w:hint="eastAsia" w:ascii="宋体" w:hAnsi="宋体" w:eastAsia="宋体" w:cs="宋体"/>
          <w:spacing w:val="6"/>
          <w:sz w:val="32"/>
          <w:szCs w:val="32"/>
          <w:lang w:eastAsia="zh" w:bidi="ar"/>
        </w:rPr>
        <w:t xml:space="preserve">10kV开关柜 10kV </w:t>
      </w:r>
      <w:r>
        <w:rPr>
          <w:rFonts w:hint="eastAsia" w:ascii="宋体" w:hAnsi="宋体" w:eastAsia="宋体" w:cs="宋体"/>
          <w:spacing w:val="6"/>
          <w:sz w:val="32"/>
          <w:szCs w:val="32"/>
          <w:lang w:val="en-US" w:eastAsia="zh" w:bidi="ar"/>
        </w:rPr>
        <w:t>metal-enclosed switchgear</w:t>
      </w:r>
      <w:r>
        <w:rPr>
          <w:rFonts w:hint="eastAsia" w:ascii="宋体" w:hAnsi="宋体" w:eastAsia="宋体" w:cs="宋体"/>
          <w:spacing w:val="6"/>
          <w:sz w:val="32"/>
          <w:szCs w:val="32"/>
          <w:lang w:eastAsia="zh" w:bidi="ar"/>
        </w:rPr>
        <w:t>由断路器、负荷开关、接触器、熔断器、隔离开关、接地开关、互感器及站用电变压器，以及控制、测量、保护、调节装置，内部连接件、辅件、外壳和支持件等组成的成套配电装置，其内的空间以空气或复合绝缘材料作为介质，用作接受和分配电网的三相电能。</w:t>
      </w:r>
    </w:p>
    <w:p w14:paraId="0BE3E132">
      <w:pPr>
        <w:widowControl/>
        <w:numPr>
          <w:ilvl w:val="1"/>
          <w:numId w:val="0"/>
        </w:numPr>
        <w:kinsoku w:val="0"/>
        <w:autoSpaceDE w:val="0"/>
        <w:autoSpaceDN w:val="0"/>
        <w:adjustRightInd w:val="0"/>
        <w:snapToGrid w:val="0"/>
        <w:spacing w:line="560" w:lineRule="exact"/>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val="en-US" w:eastAsia="zh-CN" w:bidi="ar"/>
        </w:rPr>
        <w:t>7</w:t>
      </w:r>
      <w:r>
        <w:rPr>
          <w:rFonts w:hint="eastAsia" w:ascii="宋体" w:hAnsi="宋体" w:eastAsia="宋体" w:cs="宋体"/>
          <w:spacing w:val="6"/>
          <w:sz w:val="32"/>
          <w:szCs w:val="32"/>
          <w:lang w:eastAsia="zh" w:bidi="ar"/>
        </w:rPr>
        <w:t xml:space="preserve"> 剩余电流动作保护装置 residual current device</w:t>
      </w:r>
    </w:p>
    <w:p w14:paraId="6752AA5D">
      <w:pPr>
        <w:widowControl/>
        <w:numPr>
          <w:ilvl w:val="1"/>
          <w:numId w:val="0"/>
        </w:numPr>
        <w:kinsoku w:val="0"/>
        <w:autoSpaceDE w:val="0"/>
        <w:autoSpaceDN w:val="0"/>
        <w:adjustRightInd w:val="0"/>
        <w:snapToGrid w:val="0"/>
        <w:spacing w:line="560" w:lineRule="exact"/>
        <w:ind w:firstLine="664" w:firstLineChars="200"/>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在正常运行条件下能接通、承载和分断电流，以及在规定条件下当剩余电流达到规定值时能使触头断开的机械开关电器或组合电器。</w:t>
      </w:r>
    </w:p>
    <w:p w14:paraId="2B85B39E">
      <w:pPr>
        <w:widowControl/>
        <w:numPr>
          <w:ilvl w:val="1"/>
          <w:numId w:val="0"/>
        </w:numPr>
        <w:kinsoku w:val="0"/>
        <w:autoSpaceDE w:val="0"/>
        <w:autoSpaceDN w:val="0"/>
        <w:adjustRightInd w:val="0"/>
        <w:snapToGrid w:val="0"/>
        <w:spacing w:line="560" w:lineRule="exact"/>
        <w:ind w:left="0" w:leftChars="0" w:firstLine="0" w:firstLineChars="0"/>
        <w:jc w:val="left"/>
        <w:textAlignment w:val="baseline"/>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2.</w:t>
      </w:r>
      <w:r>
        <w:rPr>
          <w:rFonts w:hint="eastAsia" w:ascii="宋体" w:hAnsi="宋体" w:eastAsia="宋体" w:cs="宋体"/>
          <w:spacing w:val="6"/>
          <w:sz w:val="32"/>
          <w:szCs w:val="32"/>
          <w:lang w:val="en-US" w:eastAsia="zh-CN" w:bidi="ar"/>
          <w:woUserID w:val="1"/>
        </w:rPr>
        <w:t>8</w:t>
      </w:r>
      <w:r>
        <w:rPr>
          <w:rFonts w:hint="eastAsia" w:ascii="宋体" w:hAnsi="宋体" w:eastAsia="宋体" w:cs="宋体"/>
          <w:spacing w:val="6"/>
          <w:sz w:val="32"/>
          <w:szCs w:val="32"/>
          <w:lang w:val="en-US" w:eastAsia="zh" w:bidi="ar"/>
          <w:woUserID w:val="1"/>
        </w:rPr>
        <w:t xml:space="preserve"> 并网型微电网 grid-connected microgrid</w:t>
      </w:r>
    </w:p>
    <w:p w14:paraId="68C5241C">
      <w:pPr>
        <w:widowControl/>
        <w:numPr>
          <w:ilvl w:val="1"/>
          <w:numId w:val="0"/>
        </w:numPr>
        <w:kinsoku w:val="0"/>
        <w:autoSpaceDE w:val="0"/>
        <w:autoSpaceDN w:val="0"/>
        <w:adjustRightInd w:val="0"/>
        <w:snapToGrid w:val="0"/>
        <w:spacing w:line="560" w:lineRule="exact"/>
        <w:ind w:left="0" w:leftChars="0" w:firstLine="664" w:firstLineChars="200"/>
        <w:jc w:val="left"/>
        <w:textAlignment w:val="baseline"/>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既</w:t>
      </w:r>
      <w:r>
        <w:rPr>
          <w:rFonts w:hint="eastAsia" w:ascii="宋体" w:hAnsi="宋体" w:eastAsia="宋体" w:cs="宋体"/>
          <w:spacing w:val="6"/>
          <w:sz w:val="32"/>
          <w:szCs w:val="32"/>
          <w:lang w:val="en-US" w:eastAsia="zh-CN" w:bidi="ar"/>
          <w:woUserID w:val="1"/>
        </w:rPr>
        <w:t>可以</w:t>
      </w:r>
      <w:r>
        <w:rPr>
          <w:rFonts w:hint="eastAsia" w:ascii="宋体" w:hAnsi="宋体" w:eastAsia="宋体" w:cs="宋体"/>
          <w:spacing w:val="6"/>
          <w:sz w:val="32"/>
          <w:szCs w:val="32"/>
          <w:lang w:val="en-US" w:eastAsia="zh" w:bidi="ar"/>
          <w:woUserID w:val="1"/>
        </w:rPr>
        <w:t>与外部电网并网运行，也可以离网独立运行，且以并网运行为主的微电网</w:t>
      </w:r>
    </w:p>
    <w:p w14:paraId="4A018E9D">
      <w:pPr>
        <w:widowControl/>
        <w:numPr>
          <w:ilvl w:val="1"/>
          <w:numId w:val="0"/>
        </w:numPr>
        <w:kinsoku w:val="0"/>
        <w:autoSpaceDE w:val="0"/>
        <w:autoSpaceDN w:val="0"/>
        <w:adjustRightInd w:val="0"/>
        <w:snapToGrid w:val="0"/>
        <w:spacing w:line="560" w:lineRule="exact"/>
        <w:ind w:left="332" w:hanging="332" w:hangingChars="100"/>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val="en-US" w:eastAsia="zh-CN" w:bidi="ar"/>
          <w:woUserID w:val="1"/>
        </w:rPr>
        <w:t>9</w:t>
      </w:r>
      <w:r>
        <w:rPr>
          <w:rFonts w:hint="eastAsia" w:ascii="宋体" w:hAnsi="宋体" w:eastAsia="宋体" w:cs="宋体"/>
          <w:spacing w:val="6"/>
          <w:sz w:val="32"/>
          <w:szCs w:val="32"/>
          <w:lang w:eastAsia="zh" w:bidi="ar"/>
        </w:rPr>
        <w:t xml:space="preserve"> 分布式电源 distributed generation</w:t>
      </w:r>
    </w:p>
    <w:p w14:paraId="5E6B75C2">
      <w:pPr>
        <w:widowControl/>
        <w:numPr>
          <w:ilvl w:val="1"/>
          <w:numId w:val="0"/>
        </w:numPr>
        <w:kinsoku w:val="0"/>
        <w:autoSpaceDE w:val="0"/>
        <w:autoSpaceDN w:val="0"/>
        <w:adjustRightInd w:val="0"/>
        <w:snapToGrid w:val="0"/>
        <w:spacing w:line="560" w:lineRule="exact"/>
        <w:ind w:firstLine="664" w:firstLineChars="200"/>
        <w:jc w:val="left"/>
        <w:textAlignment w:val="baseline"/>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rPr>
        <w:t>主要是指布置在电力负荷附近，能源利用效率高并与环境兼容，可提供电、热(冷)的发电装置，如微型燃气轮机、太阳能光伏发电、燃料电池、风力发电和生物质能发电等。</w:t>
      </w:r>
    </w:p>
    <w:p w14:paraId="5EC9C899">
      <w:pPr>
        <w:widowControl/>
        <w:numPr>
          <w:ilvl w:val="1"/>
          <w:numId w:val="0"/>
        </w:numPr>
        <w:kinsoku w:val="0"/>
        <w:autoSpaceDE w:val="0"/>
        <w:autoSpaceDN w:val="0"/>
        <w:adjustRightInd w:val="0"/>
        <w:snapToGrid w:val="0"/>
        <w:spacing w:line="560" w:lineRule="exact"/>
        <w:ind w:left="332" w:hanging="332" w:hangingChars="100"/>
        <w:jc w:val="left"/>
        <w:textAlignment w:val="baseline"/>
        <w:rPr>
          <w:rFonts w:hint="eastAsia" w:ascii="宋体" w:hAnsi="宋体" w:eastAsia="宋体" w:cs="宋体"/>
          <w:spacing w:val="6"/>
          <w:sz w:val="32"/>
          <w:szCs w:val="32"/>
          <w:lang w:val="en-US" w:eastAsia="zh-CN" w:bidi="ar"/>
        </w:rPr>
      </w:pPr>
      <w:r>
        <w:rPr>
          <w:rFonts w:hint="eastAsia" w:ascii="宋体" w:hAnsi="宋体" w:eastAsia="宋体" w:cs="宋体"/>
          <w:spacing w:val="6"/>
          <w:sz w:val="32"/>
          <w:szCs w:val="32"/>
          <w:lang w:val="en-US" w:eastAsia="zh-CN" w:bidi="ar"/>
        </w:rPr>
        <w:t>2.</w:t>
      </w:r>
      <w:r>
        <w:rPr>
          <w:rFonts w:hint="eastAsia" w:ascii="宋体" w:hAnsi="宋体" w:eastAsia="宋体" w:cs="宋体"/>
          <w:spacing w:val="6"/>
          <w:sz w:val="32"/>
          <w:szCs w:val="32"/>
          <w:lang w:val="en-US" w:eastAsia="zh-CN" w:bidi="ar"/>
          <w:woUserID w:val="1"/>
        </w:rPr>
        <w:t>10</w:t>
      </w:r>
      <w:r>
        <w:rPr>
          <w:rFonts w:hint="eastAsia" w:ascii="宋体" w:hAnsi="宋体" w:eastAsia="宋体" w:cs="宋体"/>
          <w:spacing w:val="6"/>
          <w:sz w:val="32"/>
          <w:szCs w:val="32"/>
          <w:lang w:val="en-US" w:eastAsia="zh-CN" w:bidi="ar"/>
        </w:rPr>
        <w:t xml:space="preserve"> 黑启动</w:t>
      </w:r>
    </w:p>
    <w:p w14:paraId="7F7286EC">
      <w:pPr>
        <w:widowControl/>
        <w:numPr>
          <w:ilvl w:val="1"/>
          <w:numId w:val="0"/>
        </w:numPr>
        <w:kinsoku w:val="0"/>
        <w:autoSpaceDE w:val="0"/>
        <w:autoSpaceDN w:val="0"/>
        <w:adjustRightInd w:val="0"/>
        <w:snapToGrid w:val="0"/>
        <w:spacing w:line="560" w:lineRule="exact"/>
        <w:ind w:firstLine="640" w:firstLineChars="200"/>
        <w:jc w:val="left"/>
        <w:textAlignment w:val="baseline"/>
        <w:rPr>
          <w:rFonts w:hint="eastAsia" w:ascii="宋体" w:hAnsi="宋体" w:eastAsia="宋体" w:cs="宋体"/>
          <w:kern w:val="0"/>
          <w:sz w:val="32"/>
          <w:szCs w:val="32"/>
          <w:lang w:eastAsia="zh-CN" w:bidi="ar"/>
        </w:rPr>
      </w:pPr>
      <w:r>
        <w:rPr>
          <w:rFonts w:hint="eastAsia" w:ascii="宋体" w:hAnsi="宋体" w:eastAsia="宋体" w:cs="宋体"/>
          <w:kern w:val="0"/>
          <w:sz w:val="32"/>
          <w:szCs w:val="32"/>
          <w:lang w:eastAsia="zh" w:bidi="ar"/>
        </w:rPr>
        <w:t>是指在电网因故障或其他原因导致全网停电、处于全“黑”状态的情况下，不依赖外部电网的电能，仅凭系统内部的启动电源，带动发电机组启动并恢复发电</w:t>
      </w:r>
      <w:r>
        <w:rPr>
          <w:rFonts w:hint="eastAsia" w:ascii="宋体" w:hAnsi="宋体" w:eastAsia="宋体" w:cs="宋体"/>
          <w:kern w:val="0"/>
          <w:sz w:val="32"/>
          <w:szCs w:val="32"/>
          <w:lang w:eastAsia="zh-CN" w:bidi="ar"/>
        </w:rPr>
        <w:t>。</w:t>
      </w:r>
    </w:p>
    <w:p w14:paraId="7DD01CC7">
      <w:pPr>
        <w:widowControl/>
        <w:numPr>
          <w:ilvl w:val="1"/>
          <w:numId w:val="0"/>
        </w:numPr>
        <w:kinsoku w:val="0"/>
        <w:autoSpaceDE w:val="0"/>
        <w:autoSpaceDN w:val="0"/>
        <w:adjustRightInd w:val="0"/>
        <w:snapToGrid w:val="0"/>
        <w:spacing w:line="560" w:lineRule="exact"/>
        <w:ind w:firstLine="640" w:firstLineChars="200"/>
        <w:jc w:val="left"/>
        <w:textAlignment w:val="baseline"/>
        <w:rPr>
          <w:rFonts w:ascii="仿宋" w:hAnsi="仿宋" w:eastAsia="仿宋" w:cs="仿宋"/>
          <w:kern w:val="0"/>
          <w:sz w:val="32"/>
          <w:szCs w:val="32"/>
          <w:lang w:eastAsia="zh" w:bidi="ar"/>
        </w:rPr>
      </w:pPr>
    </w:p>
    <w:p w14:paraId="4395A7B1">
      <w:pPr>
        <w:widowControl/>
        <w:numPr>
          <w:ilvl w:val="1"/>
          <w:numId w:val="0"/>
        </w:numPr>
        <w:kinsoku w:val="0"/>
        <w:autoSpaceDE w:val="0"/>
        <w:autoSpaceDN w:val="0"/>
        <w:adjustRightInd w:val="0"/>
        <w:snapToGrid w:val="0"/>
        <w:spacing w:line="560" w:lineRule="exact"/>
        <w:ind w:firstLine="640" w:firstLineChars="200"/>
        <w:jc w:val="left"/>
        <w:textAlignment w:val="baseline"/>
        <w:rPr>
          <w:rFonts w:ascii="仿宋" w:hAnsi="仿宋" w:eastAsia="仿宋" w:cs="仿宋"/>
          <w:kern w:val="0"/>
          <w:sz w:val="32"/>
          <w:szCs w:val="32"/>
          <w:lang w:eastAsia="zh" w:bidi="ar"/>
        </w:rPr>
      </w:pPr>
    </w:p>
    <w:p w14:paraId="7C3983F0">
      <w:pPr>
        <w:widowControl/>
        <w:numPr>
          <w:ilvl w:val="1"/>
          <w:numId w:val="0"/>
        </w:numPr>
        <w:kinsoku w:val="0"/>
        <w:autoSpaceDE w:val="0"/>
        <w:autoSpaceDN w:val="0"/>
        <w:adjustRightInd w:val="0"/>
        <w:snapToGrid w:val="0"/>
        <w:spacing w:line="560" w:lineRule="exact"/>
        <w:ind w:firstLine="640" w:firstLineChars="200"/>
        <w:jc w:val="left"/>
        <w:textAlignment w:val="baseline"/>
        <w:rPr>
          <w:rFonts w:ascii="仿宋" w:hAnsi="仿宋" w:eastAsia="仿宋" w:cs="仿宋"/>
          <w:kern w:val="0"/>
          <w:sz w:val="32"/>
          <w:szCs w:val="32"/>
          <w:lang w:eastAsia="zh" w:bidi="ar"/>
        </w:rPr>
      </w:pPr>
    </w:p>
    <w:p w14:paraId="275B8090">
      <w:pPr>
        <w:widowControl/>
        <w:numPr>
          <w:ilvl w:val="1"/>
          <w:numId w:val="0"/>
        </w:numPr>
        <w:kinsoku w:val="0"/>
        <w:autoSpaceDE w:val="0"/>
        <w:autoSpaceDN w:val="0"/>
        <w:adjustRightInd w:val="0"/>
        <w:snapToGrid w:val="0"/>
        <w:spacing w:line="560" w:lineRule="exact"/>
        <w:ind w:firstLine="640" w:firstLineChars="200"/>
        <w:jc w:val="left"/>
        <w:textAlignment w:val="baseline"/>
        <w:rPr>
          <w:rFonts w:ascii="仿宋" w:hAnsi="仿宋" w:eastAsia="仿宋" w:cs="仿宋"/>
          <w:kern w:val="0"/>
          <w:sz w:val="32"/>
          <w:szCs w:val="32"/>
          <w:lang w:eastAsia="zh" w:bidi="ar"/>
        </w:rPr>
      </w:pPr>
    </w:p>
    <w:p w14:paraId="00B58AA9">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val="en-US" w:eastAsia="zh-CN" w:bidi="ar"/>
        </w:rPr>
      </w:pPr>
      <w:bookmarkStart w:id="2" w:name="_Toc2376"/>
      <w:r>
        <w:rPr>
          <w:rFonts w:hint="eastAsia" w:ascii="宋体" w:hAnsi="宋体" w:eastAsia="宋体" w:cs="宋体"/>
          <w:b/>
          <w:bCs/>
          <w:color w:val="000000"/>
          <w:spacing w:val="-6"/>
          <w:kern w:val="0"/>
          <w:sz w:val="32"/>
          <w:szCs w:val="32"/>
          <w:lang w:bidi="ar"/>
        </w:rPr>
        <w:t xml:space="preserve">3 </w:t>
      </w:r>
      <w:r>
        <w:rPr>
          <w:rFonts w:hint="eastAsia" w:ascii="宋体" w:hAnsi="宋体" w:eastAsia="宋体" w:cs="宋体"/>
          <w:b/>
          <w:bCs/>
          <w:color w:val="000000"/>
          <w:spacing w:val="-6"/>
          <w:kern w:val="0"/>
          <w:sz w:val="32"/>
          <w:szCs w:val="32"/>
          <w:lang w:val="en-US" w:eastAsia="zh-CN" w:bidi="ar"/>
        </w:rPr>
        <w:t>基本规定</w:t>
      </w:r>
      <w:bookmarkEnd w:id="2"/>
    </w:p>
    <w:p w14:paraId="6BFAE6BF">
      <w:pPr>
        <w:widowControl/>
        <w:kinsoku w:val="0"/>
        <w:autoSpaceDE w:val="0"/>
        <w:autoSpaceDN w:val="0"/>
        <w:adjustRightInd w:val="0"/>
        <w:snapToGrid w:val="0"/>
        <w:spacing w:line="560" w:lineRule="exact"/>
        <w:jc w:val="both"/>
        <w:textAlignment w:val="baseline"/>
        <w:outlineLvl w:val="9"/>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3.</w:t>
      </w:r>
      <w:r>
        <w:rPr>
          <w:rFonts w:hint="eastAsia" w:ascii="宋体" w:hAnsi="宋体" w:eastAsia="宋体" w:cs="宋体"/>
          <w:spacing w:val="6"/>
          <w:kern w:val="2"/>
          <w:sz w:val="32"/>
          <w:szCs w:val="32"/>
          <w:lang w:val="en-US" w:eastAsia="zh" w:bidi="ar"/>
          <w:woUserID w:val="1"/>
        </w:rPr>
        <w:t>0</w:t>
      </w:r>
      <w:r>
        <w:rPr>
          <w:rFonts w:hint="eastAsia" w:ascii="宋体" w:hAnsi="宋体" w:eastAsia="宋体" w:cs="宋体"/>
          <w:spacing w:val="6"/>
          <w:kern w:val="2"/>
          <w:sz w:val="32"/>
          <w:szCs w:val="32"/>
          <w:lang w:val="en-US" w:eastAsia="zh-CN" w:bidi="ar"/>
        </w:rPr>
        <w:t>.1 住宅</w:t>
      </w:r>
      <w:r>
        <w:rPr>
          <w:rFonts w:hint="eastAsia" w:ascii="宋体" w:hAnsi="宋体" w:eastAsia="宋体" w:cs="宋体"/>
          <w:spacing w:val="6"/>
          <w:kern w:val="2"/>
          <w:sz w:val="32"/>
          <w:szCs w:val="32"/>
          <w:lang w:val="en-US" w:eastAsia="zh" w:bidi="ar"/>
          <w:woUserID w:val="1"/>
        </w:rPr>
        <w:t>建筑</w:t>
      </w:r>
      <w:r>
        <w:rPr>
          <w:rFonts w:hint="eastAsia" w:ascii="宋体" w:hAnsi="宋体" w:eastAsia="宋体" w:cs="宋体"/>
          <w:spacing w:val="6"/>
          <w:kern w:val="2"/>
          <w:sz w:val="32"/>
          <w:szCs w:val="32"/>
          <w:lang w:val="en-US" w:eastAsia="zh-CN" w:bidi="ar"/>
        </w:rPr>
        <w:t>配用电建设应符合成都市发展规划及区域电网规划。根据住宅小区建设规模及全生命周期运营管理需求，同步规划变电所、低压配电系统、电力及通信基础设施和智慧用电等供配电设施。</w:t>
      </w:r>
    </w:p>
    <w:p w14:paraId="1A943DEA">
      <w:pPr>
        <w:widowControl/>
        <w:kinsoku w:val="0"/>
        <w:autoSpaceDE w:val="0"/>
        <w:autoSpaceDN w:val="0"/>
        <w:adjustRightInd w:val="0"/>
        <w:snapToGrid w:val="0"/>
        <w:spacing w:line="560" w:lineRule="exact"/>
        <w:jc w:val="both"/>
        <w:textAlignment w:val="baseline"/>
        <w:outlineLvl w:val="9"/>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3.</w:t>
      </w:r>
      <w:r>
        <w:rPr>
          <w:rFonts w:hint="eastAsia" w:ascii="宋体" w:hAnsi="宋体" w:eastAsia="宋体" w:cs="宋体"/>
          <w:spacing w:val="6"/>
          <w:kern w:val="2"/>
          <w:sz w:val="32"/>
          <w:szCs w:val="32"/>
          <w:lang w:val="en-US" w:eastAsia="zh" w:bidi="ar"/>
          <w:woUserID w:val="1"/>
        </w:rPr>
        <w:t>0</w:t>
      </w:r>
      <w:r>
        <w:rPr>
          <w:rFonts w:hint="eastAsia" w:ascii="宋体" w:hAnsi="宋体" w:eastAsia="宋体" w:cs="宋体"/>
          <w:spacing w:val="6"/>
          <w:kern w:val="2"/>
          <w:sz w:val="32"/>
          <w:szCs w:val="32"/>
          <w:lang w:val="en-US" w:eastAsia="zh-CN" w:bidi="ar"/>
        </w:rPr>
        <w:t>.2 住宅</w:t>
      </w:r>
      <w:r>
        <w:rPr>
          <w:rFonts w:hint="eastAsia" w:ascii="宋体" w:hAnsi="宋体" w:eastAsia="宋体" w:cs="宋体"/>
          <w:spacing w:val="6"/>
          <w:kern w:val="2"/>
          <w:sz w:val="32"/>
          <w:szCs w:val="32"/>
          <w:lang w:val="en-US" w:eastAsia="zh" w:bidi="ar"/>
          <w:woUserID w:val="1"/>
        </w:rPr>
        <w:t>建筑</w:t>
      </w:r>
      <w:r>
        <w:rPr>
          <w:rFonts w:hint="eastAsia" w:ascii="宋体" w:hAnsi="宋体" w:eastAsia="宋体" w:cs="宋体"/>
          <w:spacing w:val="6"/>
          <w:kern w:val="2"/>
          <w:sz w:val="32"/>
          <w:szCs w:val="32"/>
          <w:lang w:val="en-US" w:eastAsia="zh-CN" w:bidi="ar"/>
        </w:rPr>
        <w:t>配用电建设应根据全生命周期用电容量及负荷性质，遵循安全可靠、技术先进、经济合理、绿色低碳、适度超前及运维便捷的原则。</w:t>
      </w:r>
    </w:p>
    <w:p w14:paraId="02133A74">
      <w:pPr>
        <w:widowControl/>
        <w:kinsoku w:val="0"/>
        <w:autoSpaceDE w:val="0"/>
        <w:autoSpaceDN w:val="0"/>
        <w:adjustRightInd w:val="0"/>
        <w:snapToGrid w:val="0"/>
        <w:spacing w:line="560" w:lineRule="exact"/>
        <w:jc w:val="both"/>
        <w:textAlignment w:val="baseline"/>
        <w:outlineLvl w:val="9"/>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3.0.3 住宅</w:t>
      </w:r>
      <w:r>
        <w:rPr>
          <w:rFonts w:hint="eastAsia" w:ascii="宋体" w:hAnsi="宋体" w:eastAsia="宋体" w:cs="宋体"/>
          <w:spacing w:val="6"/>
          <w:kern w:val="2"/>
          <w:sz w:val="32"/>
          <w:szCs w:val="32"/>
          <w:lang w:val="en-US" w:eastAsia="zh" w:bidi="ar"/>
          <w:woUserID w:val="1"/>
        </w:rPr>
        <w:t>建筑</w:t>
      </w:r>
      <w:r>
        <w:rPr>
          <w:rFonts w:hint="eastAsia" w:ascii="宋体" w:hAnsi="宋体" w:eastAsia="宋体" w:cs="宋体"/>
          <w:spacing w:val="6"/>
          <w:kern w:val="2"/>
          <w:sz w:val="32"/>
          <w:szCs w:val="32"/>
          <w:lang w:val="en-US" w:eastAsia="zh-CN" w:bidi="ar"/>
          <w:woUserID w:val="1"/>
        </w:rPr>
        <w:t>供配电设备</w:t>
      </w:r>
      <w:r>
        <w:rPr>
          <w:rFonts w:hint="eastAsia" w:ascii="宋体" w:hAnsi="宋体" w:eastAsia="宋体" w:cs="宋体"/>
          <w:spacing w:val="6"/>
          <w:kern w:val="2"/>
          <w:sz w:val="32"/>
          <w:szCs w:val="32"/>
          <w:lang w:val="en-US" w:eastAsia="zh-CN" w:bidi="ar"/>
        </w:rPr>
        <w:t>选型时，应符合国家或行业的产品技术标准，严禁使用国家明令淘汰的产品及不合格产品。</w:t>
      </w:r>
    </w:p>
    <w:p w14:paraId="1ECC0E81">
      <w:pPr>
        <w:widowControl/>
        <w:kinsoku w:val="0"/>
        <w:autoSpaceDE w:val="0"/>
        <w:autoSpaceDN w:val="0"/>
        <w:adjustRightInd w:val="0"/>
        <w:snapToGrid w:val="0"/>
        <w:spacing w:line="560" w:lineRule="exact"/>
        <w:jc w:val="both"/>
        <w:textAlignment w:val="baseline"/>
        <w:outlineLvl w:val="9"/>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3.0.4 住宅</w:t>
      </w:r>
      <w:r>
        <w:rPr>
          <w:rFonts w:hint="eastAsia" w:ascii="宋体" w:hAnsi="宋体" w:eastAsia="宋体" w:cs="宋体"/>
          <w:spacing w:val="6"/>
          <w:kern w:val="2"/>
          <w:sz w:val="32"/>
          <w:szCs w:val="32"/>
          <w:lang w:val="en-US" w:eastAsia="zh" w:bidi="ar"/>
          <w:woUserID w:val="1"/>
        </w:rPr>
        <w:t>建筑</w:t>
      </w:r>
      <w:r>
        <w:rPr>
          <w:rFonts w:hint="eastAsia" w:ascii="宋体" w:hAnsi="宋体" w:eastAsia="宋体" w:cs="宋体"/>
          <w:spacing w:val="6"/>
          <w:kern w:val="2"/>
          <w:sz w:val="32"/>
          <w:szCs w:val="32"/>
          <w:lang w:val="en-US" w:eastAsia="zh-CN" w:bidi="ar"/>
          <w:woUserID w:val="1"/>
        </w:rPr>
        <w:t>供配电建设应体现以人为本，并符合环境保护、建筑防雷等相关标准的要求，确保人居环境安全。</w:t>
      </w:r>
    </w:p>
    <w:p w14:paraId="702E81E6">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0A94F20B">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5C2D032C">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1C3BB7A9">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77BB295D">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2EDA8B44">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4046FAF2">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610CFCB3">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7EC4A1D3">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61A31821">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2A297DD3">
      <w:pPr>
        <w:widowControl/>
        <w:kinsoku w:val="0"/>
        <w:autoSpaceDE w:val="0"/>
        <w:autoSpaceDN w:val="0"/>
        <w:adjustRightInd w:val="0"/>
        <w:snapToGrid w:val="0"/>
        <w:spacing w:line="560" w:lineRule="exact"/>
        <w:jc w:val="both"/>
        <w:textAlignment w:val="baseline"/>
        <w:outlineLvl w:val="9"/>
        <w:rPr>
          <w:rFonts w:hint="eastAsia" w:ascii="仿宋" w:hAnsi="仿宋" w:eastAsia="仿宋" w:cs="仿宋"/>
          <w:spacing w:val="6"/>
          <w:kern w:val="2"/>
          <w:sz w:val="32"/>
          <w:szCs w:val="32"/>
          <w:lang w:val="en-US" w:eastAsia="zh-CN" w:bidi="ar"/>
        </w:rPr>
      </w:pPr>
    </w:p>
    <w:p w14:paraId="2322A2F6">
      <w:pPr>
        <w:rPr>
          <w:rFonts w:hint="eastAsia" w:ascii="宋体" w:hAnsi="宋体" w:eastAsia="宋体" w:cs="宋体"/>
          <w:b/>
          <w:bCs/>
          <w:color w:val="000000"/>
          <w:spacing w:val="-6"/>
          <w:kern w:val="0"/>
          <w:sz w:val="32"/>
          <w:szCs w:val="32"/>
          <w:lang w:val="en-US" w:eastAsia="zh-CN" w:bidi="ar"/>
        </w:rPr>
      </w:pPr>
      <w:bookmarkStart w:id="3" w:name="_Toc15477"/>
      <w:r>
        <w:rPr>
          <w:rFonts w:hint="eastAsia" w:ascii="宋体" w:hAnsi="宋体" w:eastAsia="宋体" w:cs="宋体"/>
          <w:b/>
          <w:bCs/>
          <w:color w:val="000000"/>
          <w:spacing w:val="-6"/>
          <w:kern w:val="0"/>
          <w:sz w:val="32"/>
          <w:szCs w:val="32"/>
          <w:lang w:val="en-US" w:eastAsia="zh-CN" w:bidi="ar"/>
        </w:rPr>
        <w:br w:type="page"/>
      </w:r>
    </w:p>
    <w:p w14:paraId="617330FC">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val="en-US" w:eastAsia="zh-CN" w:bidi="ar"/>
        </w:rPr>
        <w:t xml:space="preserve">4 </w:t>
      </w:r>
      <w:r>
        <w:rPr>
          <w:rFonts w:hint="eastAsia" w:ascii="宋体" w:hAnsi="宋体" w:eastAsia="宋体" w:cs="宋体"/>
          <w:b/>
          <w:bCs/>
          <w:color w:val="000000"/>
          <w:spacing w:val="-6"/>
          <w:kern w:val="0"/>
          <w:sz w:val="32"/>
          <w:szCs w:val="32"/>
          <w:lang w:bidi="ar"/>
        </w:rPr>
        <w:t>供配电系统</w:t>
      </w:r>
      <w:bookmarkEnd w:id="3"/>
    </w:p>
    <w:p w14:paraId="795FE33B">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val="en-US" w:eastAsia="zh-CN" w:bidi="ar"/>
        </w:rPr>
        <w:t>4</w:t>
      </w:r>
      <w:r>
        <w:rPr>
          <w:rFonts w:hint="eastAsia" w:ascii="宋体" w:hAnsi="宋体" w:eastAsia="宋体" w:cs="宋体"/>
          <w:b/>
          <w:bCs/>
          <w:color w:val="000000"/>
          <w:spacing w:val="-6"/>
          <w:kern w:val="0"/>
          <w:sz w:val="32"/>
          <w:szCs w:val="32"/>
          <w:lang w:bidi="ar"/>
        </w:rPr>
        <w:t>.1 一般规定</w:t>
      </w:r>
    </w:p>
    <w:p w14:paraId="7AD2A882">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val="en-US" w:eastAsia="zh-CN" w:bidi="ar"/>
        </w:rPr>
        <w:t>4</w:t>
      </w:r>
      <w:r>
        <w:rPr>
          <w:rFonts w:hint="eastAsia" w:ascii="宋体" w:hAnsi="宋体" w:eastAsia="宋体" w:cs="宋体"/>
          <w:spacing w:val="6"/>
          <w:kern w:val="2"/>
          <w:sz w:val="32"/>
          <w:szCs w:val="32"/>
          <w:lang w:bidi="ar"/>
        </w:rPr>
        <w:t>.1.1 住宅供配电系统配置应与区域特点、小区规模、负荷性质、用电需求相适应，应符合安全可靠、经济合理、技术先进、维护方便的要求。</w:t>
      </w:r>
    </w:p>
    <w:p w14:paraId="39D361C4">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val="en-US" w:eastAsia="zh-CN" w:bidi="ar"/>
        </w:rPr>
        <w:t>4</w:t>
      </w:r>
      <w:r>
        <w:rPr>
          <w:rFonts w:hint="eastAsia" w:ascii="宋体" w:hAnsi="宋体" w:eastAsia="宋体" w:cs="宋体"/>
          <w:spacing w:val="6"/>
          <w:kern w:val="2"/>
          <w:sz w:val="32"/>
          <w:szCs w:val="32"/>
          <w:lang w:bidi="ar"/>
        </w:rPr>
        <w:t>.1.2 应急电源与正常电源之间必须采取防止并列运行的措施。</w:t>
      </w:r>
    </w:p>
    <w:p w14:paraId="3D52D667">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.1.3 住宅建筑应当合理规划应急电源、移动式充电舱等接入地点和技术条件。接入点应设在地面，周围道路畅通，便于移动电源车通行。</w:t>
      </w:r>
    </w:p>
    <w:p w14:paraId="79FAB71B">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val="en-US" w:eastAsia="zh-CN" w:bidi="ar"/>
        </w:rPr>
        <w:t>4</w:t>
      </w:r>
      <w:r>
        <w:rPr>
          <w:rFonts w:hint="eastAsia" w:ascii="宋体" w:hAnsi="宋体" w:eastAsia="宋体" w:cs="宋体"/>
          <w:b/>
          <w:bCs/>
          <w:color w:val="000000"/>
          <w:spacing w:val="-6"/>
          <w:kern w:val="0"/>
          <w:sz w:val="32"/>
          <w:szCs w:val="32"/>
          <w:lang w:bidi="ar"/>
        </w:rPr>
        <w:t>.2 负荷分级</w:t>
      </w:r>
    </w:p>
    <w:p w14:paraId="3DA76E27">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.2.1 住宅小区内建筑及配套设施的性质，可将住宅小区内的用电负荷等级分为一级 、二级 、三级 。住宅</w:t>
      </w:r>
      <w:r>
        <w:rPr>
          <w:rFonts w:hint="eastAsia" w:ascii="宋体" w:hAnsi="宋体" w:eastAsia="宋体" w:cs="宋体"/>
          <w:spacing w:val="6"/>
          <w:kern w:val="2"/>
          <w:sz w:val="32"/>
          <w:szCs w:val="32"/>
          <w:lang w:eastAsia="zh" w:bidi="ar"/>
          <w:woUserID w:val="1"/>
        </w:rPr>
        <w:t>建筑</w:t>
      </w:r>
      <w:r>
        <w:rPr>
          <w:rFonts w:hint="eastAsia" w:ascii="宋体" w:hAnsi="宋体" w:eastAsia="宋体" w:cs="宋体"/>
          <w:spacing w:val="6"/>
          <w:kern w:val="2"/>
          <w:sz w:val="32"/>
          <w:szCs w:val="32"/>
          <w:lang w:bidi="ar"/>
        </w:rPr>
        <w:t>主要用电负荷的分级参照表</w:t>
      </w: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.2.1。</w:t>
      </w:r>
    </w:p>
    <w:p w14:paraId="110FF8A6">
      <w:pPr>
        <w:pStyle w:val="8"/>
        <w:widowControl/>
        <w:spacing w:beforeAutospacing="0" w:afterAutospacing="0" w:line="560" w:lineRule="exact"/>
        <w:jc w:val="center"/>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eastAsia="zh"/>
          <w:woUserID w:val="2"/>
        </w:rPr>
        <w:t>4</w:t>
      </w:r>
      <w:r>
        <w:rPr>
          <w:rFonts w:hint="eastAsia" w:ascii="宋体" w:hAnsi="宋体" w:eastAsia="宋体" w:cs="宋体"/>
          <w:sz w:val="24"/>
          <w:szCs w:val="24"/>
        </w:rPr>
        <w:t>.2.1 住宅</w:t>
      </w:r>
      <w:r>
        <w:rPr>
          <w:rFonts w:hint="eastAsia" w:ascii="宋体" w:hAnsi="宋体" w:eastAsia="宋体" w:cs="宋体"/>
          <w:sz w:val="24"/>
          <w:szCs w:val="24"/>
          <w:lang w:eastAsia="zh"/>
          <w:woUserID w:val="1"/>
        </w:rPr>
        <w:t>建筑</w:t>
      </w:r>
      <w:r>
        <w:rPr>
          <w:rFonts w:hint="eastAsia" w:ascii="宋体" w:hAnsi="宋体" w:eastAsia="宋体" w:cs="宋体"/>
          <w:sz w:val="24"/>
          <w:szCs w:val="24"/>
        </w:rPr>
        <w:t>供配电设施负荷分级表</w:t>
      </w:r>
    </w:p>
    <w:tbl>
      <w:tblPr>
        <w:tblStyle w:val="17"/>
        <w:tblpPr w:leftFromText="180" w:rightFromText="180" w:vertAnchor="text" w:horzAnchor="page" w:tblpX="1777" w:tblpY="203"/>
        <w:tblOverlap w:val="never"/>
        <w:tblW w:w="4998" w:type="pct"/>
        <w:tblInd w:w="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autofit"/>
        <w:tblCellMar>
          <w:top w:w="0" w:type="dxa"/>
          <w:left w:w="0" w:type="dxa"/>
          <w:bottom w:w="0" w:type="dxa"/>
          <w:right w:w="0" w:type="dxa"/>
        </w:tblCellMar>
      </w:tblPr>
      <w:tblGrid>
        <w:gridCol w:w="792"/>
        <w:gridCol w:w="3064"/>
        <w:gridCol w:w="1309"/>
        <w:gridCol w:w="3148"/>
      </w:tblGrid>
      <w:tr w14:paraId="429F9F2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9" w:hRule="atLeast"/>
        </w:trPr>
        <w:tc>
          <w:tcPr>
            <w:tcW w:w="476" w:type="pct"/>
            <w:tcBorders>
              <w:top w:val="single" w:color="231F20" w:sz="4" w:space="0"/>
              <w:left w:val="single" w:color="231F20" w:sz="4" w:space="0"/>
              <w:bottom w:val="single" w:color="231F20" w:sz="4" w:space="0"/>
            </w:tcBorders>
            <w:vAlign w:val="center"/>
          </w:tcPr>
          <w:p w14:paraId="10B3A6E4">
            <w:pPr>
              <w:pStyle w:val="18"/>
              <w:jc w:val="center"/>
              <w:rPr>
                <w:rFonts w:hint="eastAsia" w:ascii="宋体" w:hAnsi="宋体" w:eastAsia="宋体" w:cs="宋体"/>
                <w:sz w:val="24"/>
                <w:szCs w:val="24"/>
              </w:rPr>
            </w:pPr>
            <w:r>
              <w:rPr>
                <w:rFonts w:hint="eastAsia" w:ascii="宋体" w:hAnsi="宋体" w:eastAsia="宋体" w:cs="宋体"/>
                <w:spacing w:val="14"/>
                <w:sz w:val="24"/>
                <w:szCs w:val="24"/>
              </w:rPr>
              <w:t>用电负荷级别</w:t>
            </w:r>
          </w:p>
        </w:tc>
        <w:tc>
          <w:tcPr>
            <w:tcW w:w="1842" w:type="pct"/>
            <w:tcBorders>
              <w:top w:val="single" w:color="231F20" w:sz="4" w:space="0"/>
              <w:bottom w:val="single" w:color="231F20" w:sz="4" w:space="0"/>
            </w:tcBorders>
            <w:vAlign w:val="center"/>
          </w:tcPr>
          <w:p w14:paraId="4C594532">
            <w:pPr>
              <w:pStyle w:val="18"/>
              <w:jc w:val="center"/>
              <w:rPr>
                <w:rFonts w:hint="eastAsia" w:ascii="宋体" w:hAnsi="宋体" w:eastAsia="宋体" w:cs="宋体"/>
                <w:sz w:val="24"/>
                <w:szCs w:val="24"/>
              </w:rPr>
            </w:pPr>
            <w:r>
              <w:rPr>
                <w:rFonts w:hint="eastAsia" w:ascii="宋体" w:hAnsi="宋体" w:eastAsia="宋体" w:cs="宋体"/>
                <w:spacing w:val="17"/>
                <w:sz w:val="24"/>
                <w:szCs w:val="24"/>
              </w:rPr>
              <w:t>用电负荷分级依据</w:t>
            </w:r>
          </w:p>
        </w:tc>
        <w:tc>
          <w:tcPr>
            <w:tcW w:w="787" w:type="pct"/>
            <w:tcBorders>
              <w:top w:val="single" w:color="231F20" w:sz="4" w:space="0"/>
              <w:bottom w:val="single" w:color="231F20" w:sz="4" w:space="0"/>
            </w:tcBorders>
            <w:vAlign w:val="center"/>
          </w:tcPr>
          <w:p w14:paraId="22602327">
            <w:pPr>
              <w:pStyle w:val="18"/>
              <w:jc w:val="center"/>
              <w:rPr>
                <w:rFonts w:hint="eastAsia" w:ascii="宋体" w:hAnsi="宋体" w:eastAsia="宋体" w:cs="宋体"/>
                <w:sz w:val="24"/>
                <w:szCs w:val="24"/>
              </w:rPr>
            </w:pPr>
            <w:r>
              <w:rPr>
                <w:rFonts w:hint="eastAsia" w:ascii="宋体" w:hAnsi="宋体" w:eastAsia="宋体" w:cs="宋体"/>
                <w:spacing w:val="16"/>
                <w:sz w:val="24"/>
                <w:szCs w:val="24"/>
              </w:rPr>
              <w:t>适用建筑物</w:t>
            </w:r>
            <w:r>
              <w:rPr>
                <w:rFonts w:hint="eastAsia" w:ascii="宋体" w:hAnsi="宋体" w:eastAsia="宋体" w:cs="宋体"/>
                <w:spacing w:val="12"/>
                <w:sz w:val="24"/>
                <w:szCs w:val="24"/>
              </w:rPr>
              <w:t>示例</w:t>
            </w:r>
          </w:p>
        </w:tc>
        <w:tc>
          <w:tcPr>
            <w:tcW w:w="1892" w:type="pct"/>
            <w:tcBorders>
              <w:top w:val="single" w:color="231F20" w:sz="4" w:space="0"/>
              <w:bottom w:val="single" w:color="231F20" w:sz="4" w:space="0"/>
              <w:right w:val="single" w:color="231F20" w:sz="4" w:space="0"/>
            </w:tcBorders>
            <w:vAlign w:val="center"/>
          </w:tcPr>
          <w:p w14:paraId="6A69BAF5">
            <w:pPr>
              <w:pStyle w:val="18"/>
              <w:jc w:val="center"/>
              <w:rPr>
                <w:rFonts w:hint="eastAsia" w:ascii="宋体" w:hAnsi="宋体" w:eastAsia="宋体" w:cs="宋体"/>
                <w:sz w:val="24"/>
                <w:szCs w:val="24"/>
              </w:rPr>
            </w:pPr>
            <w:r>
              <w:rPr>
                <w:rFonts w:hint="eastAsia" w:ascii="宋体" w:hAnsi="宋体" w:eastAsia="宋体" w:cs="宋体"/>
                <w:spacing w:val="17"/>
                <w:sz w:val="24"/>
                <w:szCs w:val="24"/>
              </w:rPr>
              <w:t>用电负荷名称</w:t>
            </w:r>
          </w:p>
        </w:tc>
      </w:tr>
      <w:tr w14:paraId="40453B5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10" w:hRule="atLeast"/>
        </w:trPr>
        <w:tc>
          <w:tcPr>
            <w:tcW w:w="476" w:type="pct"/>
            <w:tcBorders>
              <w:top w:val="single" w:color="231F20" w:sz="4" w:space="0"/>
              <w:left w:val="single" w:color="231F20" w:sz="4" w:space="0"/>
            </w:tcBorders>
            <w:vAlign w:val="center"/>
          </w:tcPr>
          <w:p w14:paraId="57AB85C9">
            <w:pPr>
              <w:jc w:val="center"/>
              <w:rPr>
                <w:rFonts w:hint="eastAsia" w:ascii="宋体" w:hAnsi="宋体" w:eastAsia="宋体" w:cs="宋体"/>
                <w:sz w:val="24"/>
              </w:rPr>
            </w:pPr>
          </w:p>
          <w:p w14:paraId="3979263C">
            <w:pPr>
              <w:pStyle w:val="18"/>
              <w:ind w:left="193"/>
              <w:jc w:val="center"/>
              <w:rPr>
                <w:rFonts w:hint="eastAsia" w:ascii="宋体" w:hAnsi="宋体" w:eastAsia="宋体" w:cs="宋体"/>
                <w:sz w:val="24"/>
                <w:szCs w:val="24"/>
              </w:rPr>
            </w:pPr>
            <w:r>
              <w:rPr>
                <w:rFonts w:hint="eastAsia" w:ascii="宋体" w:hAnsi="宋体" w:eastAsia="宋体" w:cs="宋体"/>
                <w:spacing w:val="11"/>
                <w:sz w:val="24"/>
                <w:szCs w:val="24"/>
              </w:rPr>
              <w:t>一级</w:t>
            </w:r>
          </w:p>
        </w:tc>
        <w:tc>
          <w:tcPr>
            <w:tcW w:w="1842" w:type="pct"/>
            <w:tcBorders>
              <w:top w:val="single" w:color="231F20" w:sz="4" w:space="0"/>
            </w:tcBorders>
            <w:vAlign w:val="center"/>
          </w:tcPr>
          <w:p w14:paraId="17FF103B">
            <w:pPr>
              <w:pStyle w:val="18"/>
              <w:ind w:left="91"/>
              <w:jc w:val="left"/>
              <w:rPr>
                <w:rFonts w:hint="eastAsia" w:ascii="宋体" w:hAnsi="宋体" w:eastAsia="宋体" w:cs="宋体"/>
                <w:sz w:val="24"/>
                <w:szCs w:val="24"/>
                <w:lang w:eastAsia="zh-CN"/>
              </w:rPr>
            </w:pPr>
            <w:r>
              <w:rPr>
                <w:rFonts w:hint="eastAsia" w:ascii="宋体" w:hAnsi="宋体" w:eastAsia="宋体" w:cs="宋体"/>
                <w:spacing w:val="8"/>
                <w:sz w:val="24"/>
                <w:szCs w:val="24"/>
                <w:lang w:eastAsia="zh-CN"/>
              </w:rPr>
              <w:t>a）中断供电将造成人身伤害；</w:t>
            </w:r>
          </w:p>
          <w:p w14:paraId="47BE38AA">
            <w:pPr>
              <w:pStyle w:val="18"/>
              <w:ind w:left="85"/>
              <w:jc w:val="left"/>
              <w:rPr>
                <w:rFonts w:hint="eastAsia" w:ascii="宋体" w:hAnsi="宋体" w:eastAsia="宋体" w:cs="宋体"/>
                <w:sz w:val="24"/>
                <w:szCs w:val="24"/>
                <w:lang w:eastAsia="zh-CN"/>
              </w:rPr>
            </w:pPr>
            <w:r>
              <w:rPr>
                <w:rFonts w:hint="eastAsia" w:ascii="宋体" w:hAnsi="宋体" w:eastAsia="宋体" w:cs="宋体"/>
                <w:spacing w:val="12"/>
                <w:sz w:val="24"/>
                <w:szCs w:val="24"/>
                <w:lang w:eastAsia="zh-CN"/>
              </w:rPr>
              <w:t>b）中断供电将在经济上造成重大损失；</w:t>
            </w:r>
          </w:p>
          <w:p w14:paraId="27A41500">
            <w:pPr>
              <w:pStyle w:val="18"/>
              <w:ind w:left="88" w:right="89" w:firstLine="2"/>
              <w:jc w:val="left"/>
              <w:rPr>
                <w:rFonts w:hint="eastAsia" w:ascii="宋体" w:hAnsi="宋体" w:eastAsia="宋体" w:cs="宋体"/>
                <w:sz w:val="24"/>
                <w:szCs w:val="24"/>
                <w:lang w:eastAsia="zh-CN"/>
              </w:rPr>
            </w:pPr>
            <w:r>
              <w:rPr>
                <w:rFonts w:hint="eastAsia" w:ascii="宋体" w:hAnsi="宋体" w:eastAsia="宋体" w:cs="宋体"/>
                <w:spacing w:val="-7"/>
                <w:sz w:val="24"/>
                <w:szCs w:val="24"/>
                <w:lang w:eastAsia="zh-CN"/>
              </w:rPr>
              <w:t>c）中断供电将影响重要用电单位的正常工作</w:t>
            </w:r>
            <w:r>
              <w:rPr>
                <w:rFonts w:hint="eastAsia" w:ascii="宋体" w:hAnsi="宋体" w:eastAsia="宋体" w:cs="宋体"/>
                <w:spacing w:val="-21"/>
                <w:sz w:val="24"/>
                <w:szCs w:val="24"/>
                <w:lang w:eastAsia="zh-CN"/>
              </w:rPr>
              <w:t xml:space="preserve"> </w:t>
            </w:r>
            <w:r>
              <w:rPr>
                <w:rFonts w:hint="eastAsia" w:ascii="宋体" w:hAnsi="宋体" w:eastAsia="宋体" w:cs="宋体"/>
                <w:spacing w:val="-7"/>
                <w:sz w:val="24"/>
                <w:szCs w:val="24"/>
                <w:lang w:eastAsia="zh-CN"/>
              </w:rPr>
              <w:t>，或</w:t>
            </w:r>
            <w:r>
              <w:rPr>
                <w:rFonts w:hint="eastAsia" w:ascii="宋体" w:hAnsi="宋体" w:eastAsia="宋体" w:cs="宋体"/>
                <w:spacing w:val="19"/>
                <w:sz w:val="24"/>
                <w:szCs w:val="24"/>
                <w:lang w:eastAsia="zh-CN"/>
              </w:rPr>
              <w:t>造成人员密集的公共场所秩序严重混乱</w:t>
            </w:r>
          </w:p>
        </w:tc>
        <w:tc>
          <w:tcPr>
            <w:tcW w:w="787" w:type="pct"/>
            <w:tcBorders>
              <w:top w:val="single" w:color="231F20" w:sz="4" w:space="0"/>
            </w:tcBorders>
            <w:vAlign w:val="center"/>
          </w:tcPr>
          <w:p w14:paraId="752EA9D4">
            <w:pPr>
              <w:pStyle w:val="18"/>
              <w:jc w:val="center"/>
              <w:rPr>
                <w:rFonts w:hint="eastAsia" w:ascii="宋体" w:hAnsi="宋体" w:eastAsia="宋体" w:cs="宋体"/>
                <w:sz w:val="24"/>
                <w:szCs w:val="24"/>
              </w:rPr>
            </w:pPr>
            <w:r>
              <w:rPr>
                <w:rFonts w:hint="eastAsia" w:ascii="宋体" w:hAnsi="宋体" w:eastAsia="宋体" w:cs="宋体"/>
                <w:spacing w:val="15"/>
                <w:sz w:val="24"/>
                <w:szCs w:val="24"/>
              </w:rPr>
              <w:t>一类高层</w:t>
            </w:r>
            <w:r>
              <w:rPr>
                <w:rFonts w:hint="eastAsia" w:ascii="宋体" w:hAnsi="宋体" w:eastAsia="宋体" w:cs="宋体"/>
                <w:spacing w:val="11"/>
                <w:sz w:val="24"/>
                <w:szCs w:val="24"/>
              </w:rPr>
              <w:t>建筑</w:t>
            </w:r>
          </w:p>
        </w:tc>
        <w:tc>
          <w:tcPr>
            <w:tcW w:w="1892" w:type="pct"/>
            <w:tcBorders>
              <w:top w:val="single" w:color="231F20" w:sz="4" w:space="0"/>
              <w:right w:val="single" w:color="231F20" w:sz="4" w:space="0"/>
            </w:tcBorders>
            <w:vAlign w:val="center"/>
          </w:tcPr>
          <w:p w14:paraId="5A2E8AC4">
            <w:pPr>
              <w:pStyle w:val="18"/>
              <w:ind w:left="93" w:right="18" w:firstLine="1"/>
              <w:jc w:val="left"/>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安全防范系统</w:t>
            </w:r>
            <w:r>
              <w:rPr>
                <w:rFonts w:hint="eastAsia" w:ascii="宋体" w:hAnsi="宋体" w:eastAsia="宋体" w:cs="宋体"/>
                <w:spacing w:val="-3"/>
                <w:sz w:val="24"/>
                <w:szCs w:val="24"/>
                <w:lang w:eastAsia="zh-CN"/>
              </w:rPr>
              <w:t xml:space="preserve"> </w:t>
            </w:r>
            <w:r>
              <w:rPr>
                <w:rFonts w:hint="eastAsia" w:ascii="宋体" w:hAnsi="宋体" w:eastAsia="宋体" w:cs="宋体"/>
                <w:spacing w:val="9"/>
                <w:sz w:val="24"/>
                <w:szCs w:val="24"/>
                <w:lang w:eastAsia="zh-CN"/>
              </w:rPr>
              <w:t>、航空障碍照明</w:t>
            </w:r>
            <w:r>
              <w:rPr>
                <w:rFonts w:hint="eastAsia" w:ascii="宋体" w:hAnsi="宋体" w:eastAsia="宋体" w:cs="宋体"/>
                <w:spacing w:val="-20"/>
                <w:sz w:val="24"/>
                <w:szCs w:val="24"/>
                <w:lang w:eastAsia="zh-CN"/>
              </w:rPr>
              <w:t xml:space="preserve"> </w:t>
            </w:r>
            <w:r>
              <w:rPr>
                <w:rFonts w:hint="eastAsia" w:ascii="宋体" w:hAnsi="宋体" w:eastAsia="宋体" w:cs="宋体"/>
                <w:spacing w:val="9"/>
                <w:sz w:val="24"/>
                <w:szCs w:val="24"/>
                <w:lang w:eastAsia="zh-CN"/>
              </w:rPr>
              <w:t>、值班照明</w:t>
            </w:r>
            <w:r>
              <w:rPr>
                <w:rFonts w:hint="eastAsia" w:ascii="宋体" w:hAnsi="宋体" w:eastAsia="宋体" w:cs="宋体"/>
                <w:spacing w:val="-20"/>
                <w:sz w:val="24"/>
                <w:szCs w:val="24"/>
                <w:lang w:eastAsia="zh-CN"/>
              </w:rPr>
              <w:t xml:space="preserve"> </w:t>
            </w:r>
            <w:r>
              <w:rPr>
                <w:rFonts w:hint="eastAsia" w:ascii="宋体" w:hAnsi="宋体" w:eastAsia="宋体" w:cs="宋体"/>
                <w:spacing w:val="9"/>
                <w:sz w:val="24"/>
                <w:szCs w:val="24"/>
                <w:lang w:eastAsia="zh-CN"/>
              </w:rPr>
              <w:t>、</w:t>
            </w:r>
            <w:r>
              <w:rPr>
                <w:rFonts w:hint="eastAsia" w:ascii="宋体" w:hAnsi="宋体" w:eastAsia="宋体" w:cs="宋体"/>
                <w:sz w:val="24"/>
                <w:szCs w:val="24"/>
                <w:lang w:eastAsia="zh-CN"/>
              </w:rPr>
              <w:t xml:space="preserve"> 警卫照明</w:t>
            </w:r>
            <w:r>
              <w:rPr>
                <w:rFonts w:hint="eastAsia" w:ascii="宋体" w:hAnsi="宋体" w:eastAsia="宋体" w:cs="宋体"/>
                <w:spacing w:val="-18"/>
                <w:sz w:val="24"/>
                <w:szCs w:val="24"/>
                <w:lang w:eastAsia="zh-CN"/>
              </w:rPr>
              <w:t xml:space="preserve"> </w:t>
            </w:r>
            <w:r>
              <w:rPr>
                <w:rFonts w:hint="eastAsia" w:ascii="宋体" w:hAnsi="宋体" w:eastAsia="宋体" w:cs="宋体"/>
                <w:sz w:val="24"/>
                <w:szCs w:val="24"/>
                <w:lang w:eastAsia="zh-CN"/>
              </w:rPr>
              <w:t>、客梯</w:t>
            </w:r>
            <w:r>
              <w:rPr>
                <w:rFonts w:hint="eastAsia" w:ascii="宋体" w:hAnsi="宋体" w:eastAsia="宋体" w:cs="宋体"/>
                <w:spacing w:val="-26"/>
                <w:sz w:val="24"/>
                <w:szCs w:val="24"/>
                <w:lang w:eastAsia="zh-CN"/>
              </w:rPr>
              <w:t xml:space="preserve"> </w:t>
            </w:r>
            <w:r>
              <w:rPr>
                <w:rFonts w:hint="eastAsia" w:ascii="宋体" w:hAnsi="宋体" w:eastAsia="宋体" w:cs="宋体"/>
                <w:sz w:val="24"/>
                <w:szCs w:val="24"/>
                <w:lang w:eastAsia="zh-CN"/>
              </w:rPr>
              <w:t>、排水泵</w:t>
            </w:r>
            <w:r>
              <w:rPr>
                <w:rFonts w:hint="eastAsia" w:ascii="宋体" w:hAnsi="宋体" w:eastAsia="宋体" w:cs="宋体"/>
                <w:spacing w:val="-26"/>
                <w:sz w:val="24"/>
                <w:szCs w:val="24"/>
                <w:lang w:eastAsia="zh-CN"/>
              </w:rPr>
              <w:t xml:space="preserve"> </w:t>
            </w:r>
            <w:r>
              <w:rPr>
                <w:rFonts w:hint="eastAsia" w:ascii="宋体" w:hAnsi="宋体" w:eastAsia="宋体" w:cs="宋体"/>
                <w:sz w:val="24"/>
                <w:szCs w:val="24"/>
                <w:lang w:eastAsia="zh-CN"/>
              </w:rPr>
              <w:t>、生活给水泵等</w:t>
            </w:r>
          </w:p>
        </w:tc>
      </w:tr>
      <w:tr w14:paraId="3CF28AB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476" w:type="pct"/>
            <w:vMerge w:val="restart"/>
            <w:tcBorders>
              <w:left w:val="single" w:color="231F20" w:sz="4" w:space="0"/>
              <w:bottom w:val="nil"/>
            </w:tcBorders>
            <w:vAlign w:val="center"/>
          </w:tcPr>
          <w:p w14:paraId="38D23E05">
            <w:pPr>
              <w:pStyle w:val="18"/>
              <w:ind w:left="193"/>
              <w:jc w:val="center"/>
              <w:rPr>
                <w:rFonts w:hint="eastAsia" w:ascii="宋体" w:hAnsi="宋体" w:eastAsia="宋体" w:cs="宋体"/>
                <w:sz w:val="24"/>
                <w:szCs w:val="24"/>
              </w:rPr>
            </w:pPr>
            <w:r>
              <w:rPr>
                <w:rFonts w:hint="eastAsia" w:ascii="宋体" w:hAnsi="宋体" w:eastAsia="宋体" w:cs="宋体"/>
                <w:spacing w:val="11"/>
                <w:sz w:val="24"/>
                <w:szCs w:val="24"/>
              </w:rPr>
              <w:t>二级</w:t>
            </w:r>
          </w:p>
        </w:tc>
        <w:tc>
          <w:tcPr>
            <w:tcW w:w="1842" w:type="pct"/>
            <w:vMerge w:val="restart"/>
            <w:tcBorders>
              <w:bottom w:val="nil"/>
            </w:tcBorders>
            <w:vAlign w:val="center"/>
          </w:tcPr>
          <w:p w14:paraId="6E11266B">
            <w:pPr>
              <w:pStyle w:val="18"/>
              <w:ind w:left="91"/>
              <w:jc w:val="center"/>
              <w:rPr>
                <w:rFonts w:hint="eastAsia" w:ascii="宋体" w:hAnsi="宋体" w:eastAsia="宋体" w:cs="宋体"/>
                <w:sz w:val="24"/>
                <w:szCs w:val="24"/>
                <w:lang w:eastAsia="zh-CN"/>
              </w:rPr>
            </w:pPr>
            <w:r>
              <w:rPr>
                <w:rFonts w:hint="eastAsia" w:ascii="宋体" w:hAnsi="宋体" w:eastAsia="宋体" w:cs="宋体"/>
                <w:spacing w:val="11"/>
                <w:sz w:val="24"/>
                <w:szCs w:val="24"/>
                <w:lang w:eastAsia="zh-CN"/>
              </w:rPr>
              <w:t>a）中断供电将在经济上造成较大损失</w:t>
            </w:r>
          </w:p>
          <w:p w14:paraId="67F35B74">
            <w:pPr>
              <w:pStyle w:val="18"/>
              <w:ind w:left="88" w:right="89" w:hanging="3"/>
              <w:jc w:val="center"/>
              <w:rPr>
                <w:rFonts w:hint="eastAsia" w:ascii="宋体" w:hAnsi="宋体" w:eastAsia="宋体" w:cs="宋体"/>
                <w:sz w:val="24"/>
                <w:szCs w:val="24"/>
                <w:lang w:eastAsia="zh-CN"/>
              </w:rPr>
            </w:pPr>
            <w:r>
              <w:rPr>
                <w:rFonts w:hint="eastAsia" w:ascii="宋体" w:hAnsi="宋体" w:eastAsia="宋体" w:cs="宋体"/>
                <w:spacing w:val="16"/>
                <w:sz w:val="24"/>
                <w:szCs w:val="24"/>
                <w:lang w:eastAsia="zh-CN"/>
              </w:rPr>
              <w:t>b）中断供电将影响较重要用电单位的正常工作或</w:t>
            </w:r>
            <w:r>
              <w:rPr>
                <w:rFonts w:hint="eastAsia" w:ascii="宋体" w:hAnsi="宋体" w:eastAsia="宋体" w:cs="宋体"/>
                <w:spacing w:val="18"/>
                <w:sz w:val="24"/>
                <w:szCs w:val="24"/>
                <w:lang w:eastAsia="zh-CN"/>
              </w:rPr>
              <w:t>造成公共场所秩序混乱</w:t>
            </w:r>
          </w:p>
        </w:tc>
        <w:tc>
          <w:tcPr>
            <w:tcW w:w="787" w:type="pct"/>
            <w:vAlign w:val="center"/>
          </w:tcPr>
          <w:p w14:paraId="72F7FB46">
            <w:pPr>
              <w:pStyle w:val="18"/>
              <w:jc w:val="center"/>
              <w:rPr>
                <w:rFonts w:hint="eastAsia" w:ascii="宋体" w:hAnsi="宋体" w:eastAsia="宋体" w:cs="宋体"/>
                <w:sz w:val="24"/>
                <w:szCs w:val="24"/>
              </w:rPr>
            </w:pPr>
            <w:r>
              <w:rPr>
                <w:rFonts w:hint="eastAsia" w:ascii="宋体" w:hAnsi="宋体" w:eastAsia="宋体" w:cs="宋体"/>
                <w:spacing w:val="15"/>
                <w:sz w:val="24"/>
                <w:szCs w:val="24"/>
              </w:rPr>
              <w:t>二类高层</w:t>
            </w:r>
            <w:r>
              <w:rPr>
                <w:rFonts w:hint="eastAsia" w:ascii="宋体" w:hAnsi="宋体" w:eastAsia="宋体" w:cs="宋体"/>
                <w:spacing w:val="11"/>
                <w:sz w:val="24"/>
                <w:szCs w:val="24"/>
              </w:rPr>
              <w:t>建筑</w:t>
            </w:r>
          </w:p>
        </w:tc>
        <w:tc>
          <w:tcPr>
            <w:tcW w:w="1892" w:type="pct"/>
            <w:tcBorders>
              <w:right w:val="single" w:color="231F20" w:sz="4" w:space="0"/>
            </w:tcBorders>
            <w:vAlign w:val="center"/>
          </w:tcPr>
          <w:p w14:paraId="40F7301A">
            <w:pPr>
              <w:pStyle w:val="18"/>
              <w:jc w:val="left"/>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安全防范系统、客梯、排水泵、生活给水泵等</w:t>
            </w:r>
          </w:p>
        </w:tc>
      </w:tr>
      <w:tr w14:paraId="552B5C4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476" w:type="pct"/>
            <w:vMerge w:val="continue"/>
            <w:tcBorders>
              <w:top w:val="nil"/>
              <w:left w:val="single" w:color="231F20" w:sz="4" w:space="0"/>
            </w:tcBorders>
            <w:vAlign w:val="center"/>
          </w:tcPr>
          <w:p w14:paraId="64CF8C40">
            <w:pPr>
              <w:jc w:val="center"/>
              <w:rPr>
                <w:rFonts w:hint="eastAsia" w:ascii="宋体" w:hAnsi="宋体" w:eastAsia="宋体" w:cs="宋体"/>
                <w:sz w:val="24"/>
              </w:rPr>
            </w:pPr>
          </w:p>
        </w:tc>
        <w:tc>
          <w:tcPr>
            <w:tcW w:w="1842" w:type="pct"/>
            <w:vMerge w:val="continue"/>
            <w:tcBorders>
              <w:top w:val="nil"/>
            </w:tcBorders>
            <w:vAlign w:val="center"/>
          </w:tcPr>
          <w:p w14:paraId="3E196C3E">
            <w:pPr>
              <w:jc w:val="center"/>
              <w:rPr>
                <w:rFonts w:hint="eastAsia" w:ascii="宋体" w:hAnsi="宋体" w:eastAsia="宋体" w:cs="宋体"/>
                <w:sz w:val="24"/>
              </w:rPr>
            </w:pPr>
          </w:p>
        </w:tc>
        <w:tc>
          <w:tcPr>
            <w:tcW w:w="787" w:type="pct"/>
            <w:vAlign w:val="center"/>
          </w:tcPr>
          <w:p w14:paraId="15FD2B08">
            <w:pPr>
              <w:pStyle w:val="18"/>
              <w:jc w:val="center"/>
              <w:rPr>
                <w:rFonts w:hint="eastAsia" w:ascii="宋体" w:hAnsi="宋体" w:eastAsia="宋体" w:cs="宋体"/>
                <w:sz w:val="24"/>
                <w:szCs w:val="24"/>
              </w:rPr>
            </w:pPr>
            <w:r>
              <w:rPr>
                <w:rFonts w:hint="eastAsia" w:ascii="宋体" w:hAnsi="宋体" w:eastAsia="宋体" w:cs="宋体"/>
                <w:spacing w:val="16"/>
                <w:sz w:val="24"/>
                <w:szCs w:val="24"/>
              </w:rPr>
              <w:t>一类和二类</w:t>
            </w:r>
            <w:r>
              <w:rPr>
                <w:rFonts w:hint="eastAsia" w:ascii="宋体" w:hAnsi="宋体" w:eastAsia="宋体" w:cs="宋体"/>
                <w:spacing w:val="15"/>
                <w:sz w:val="24"/>
                <w:szCs w:val="24"/>
              </w:rPr>
              <w:t>高层建筑</w:t>
            </w:r>
          </w:p>
        </w:tc>
        <w:tc>
          <w:tcPr>
            <w:tcW w:w="1892" w:type="pct"/>
            <w:tcBorders>
              <w:right w:val="single" w:color="231F20" w:sz="4" w:space="0"/>
            </w:tcBorders>
            <w:vAlign w:val="center"/>
          </w:tcPr>
          <w:p w14:paraId="0D1695E6">
            <w:pPr>
              <w:pStyle w:val="18"/>
              <w:jc w:val="left"/>
              <w:rPr>
                <w:rFonts w:hint="eastAsia" w:ascii="宋体" w:hAnsi="宋体" w:eastAsia="宋体" w:cs="宋体"/>
                <w:sz w:val="24"/>
                <w:szCs w:val="24"/>
                <w:lang w:eastAsia="zh-CN"/>
              </w:rPr>
            </w:pPr>
            <w:r>
              <w:rPr>
                <w:rFonts w:hint="eastAsia" w:ascii="宋体" w:hAnsi="宋体" w:eastAsia="宋体" w:cs="宋体"/>
                <w:spacing w:val="10"/>
                <w:sz w:val="24"/>
                <w:szCs w:val="24"/>
                <w:lang w:eastAsia="zh-CN"/>
              </w:rPr>
              <w:t>主要通道</w:t>
            </w:r>
            <w:r>
              <w:rPr>
                <w:rFonts w:hint="eastAsia" w:ascii="宋体" w:hAnsi="宋体" w:eastAsia="宋体" w:cs="宋体"/>
                <w:spacing w:val="-22"/>
                <w:sz w:val="24"/>
                <w:szCs w:val="24"/>
                <w:lang w:eastAsia="zh-CN"/>
              </w:rPr>
              <w:t xml:space="preserve"> </w:t>
            </w:r>
            <w:r>
              <w:rPr>
                <w:rFonts w:hint="eastAsia" w:ascii="宋体" w:hAnsi="宋体" w:eastAsia="宋体" w:cs="宋体"/>
                <w:spacing w:val="10"/>
                <w:sz w:val="24"/>
                <w:szCs w:val="24"/>
                <w:lang w:eastAsia="zh-CN"/>
              </w:rPr>
              <w:t>、走道及楼梯间照明等</w:t>
            </w:r>
          </w:p>
        </w:tc>
      </w:tr>
      <w:tr w14:paraId="0A384C1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9" w:hRule="atLeast"/>
        </w:trPr>
        <w:tc>
          <w:tcPr>
            <w:tcW w:w="476" w:type="pct"/>
            <w:tcBorders>
              <w:left w:val="single" w:color="231F20" w:sz="4" w:space="0"/>
              <w:bottom w:val="single" w:color="231F20" w:sz="4" w:space="0"/>
            </w:tcBorders>
            <w:vAlign w:val="center"/>
          </w:tcPr>
          <w:p w14:paraId="78856F6C">
            <w:pPr>
              <w:pStyle w:val="18"/>
              <w:ind w:left="196"/>
              <w:jc w:val="center"/>
              <w:rPr>
                <w:rFonts w:hint="eastAsia" w:ascii="宋体" w:hAnsi="宋体" w:eastAsia="宋体" w:cs="宋体"/>
                <w:sz w:val="24"/>
                <w:szCs w:val="24"/>
              </w:rPr>
            </w:pPr>
            <w:r>
              <w:rPr>
                <w:rFonts w:hint="eastAsia" w:ascii="宋体" w:hAnsi="宋体" w:eastAsia="宋体" w:cs="宋体"/>
                <w:spacing w:val="10"/>
                <w:sz w:val="24"/>
                <w:szCs w:val="24"/>
              </w:rPr>
              <w:t>三级</w:t>
            </w:r>
          </w:p>
        </w:tc>
        <w:tc>
          <w:tcPr>
            <w:tcW w:w="1842" w:type="pct"/>
            <w:tcBorders>
              <w:bottom w:val="single" w:color="231F20" w:sz="4" w:space="0"/>
            </w:tcBorders>
            <w:vAlign w:val="center"/>
          </w:tcPr>
          <w:p w14:paraId="7FE04A65">
            <w:pPr>
              <w:pStyle w:val="18"/>
              <w:ind w:left="89"/>
              <w:jc w:val="center"/>
              <w:rPr>
                <w:rFonts w:hint="eastAsia" w:ascii="宋体" w:hAnsi="宋体" w:eastAsia="宋体" w:cs="宋体"/>
                <w:sz w:val="24"/>
                <w:szCs w:val="24"/>
                <w:lang w:eastAsia="zh-CN"/>
              </w:rPr>
            </w:pPr>
            <w:r>
              <w:rPr>
                <w:rFonts w:hint="eastAsia" w:ascii="宋体" w:hAnsi="宋体" w:eastAsia="宋体" w:cs="宋体"/>
                <w:spacing w:val="18"/>
                <w:sz w:val="24"/>
                <w:szCs w:val="24"/>
                <w:lang w:eastAsia="zh-CN"/>
              </w:rPr>
              <w:t>不属于一级和二级的用电负荷</w:t>
            </w:r>
          </w:p>
        </w:tc>
        <w:tc>
          <w:tcPr>
            <w:tcW w:w="787" w:type="pct"/>
            <w:tcBorders>
              <w:bottom w:val="single" w:color="231F20" w:sz="4" w:space="0"/>
            </w:tcBorders>
            <w:vAlign w:val="center"/>
          </w:tcPr>
          <w:p w14:paraId="70513A6E">
            <w:pPr>
              <w:pStyle w:val="18"/>
              <w:jc w:val="center"/>
              <w:rPr>
                <w:rFonts w:hint="eastAsia" w:ascii="宋体" w:hAnsi="宋体" w:eastAsia="宋体" w:cs="宋体"/>
                <w:sz w:val="24"/>
                <w:szCs w:val="24"/>
              </w:rPr>
            </w:pPr>
            <w:r>
              <w:rPr>
                <w:rFonts w:hint="eastAsia" w:ascii="宋体" w:hAnsi="宋体" w:eastAsia="宋体" w:cs="宋体"/>
                <w:position w:val="-7"/>
                <w:sz w:val="24"/>
                <w:szCs w:val="24"/>
              </w:rPr>
              <w:t>—</w:t>
            </w:r>
          </w:p>
        </w:tc>
        <w:tc>
          <w:tcPr>
            <w:tcW w:w="1892" w:type="pct"/>
            <w:tcBorders>
              <w:bottom w:val="single" w:color="231F20" w:sz="4" w:space="0"/>
              <w:right w:val="single" w:color="231F20" w:sz="4" w:space="0"/>
            </w:tcBorders>
            <w:vAlign w:val="center"/>
          </w:tcPr>
          <w:p w14:paraId="2B3F68EC">
            <w:pPr>
              <w:pStyle w:val="18"/>
              <w:jc w:val="center"/>
              <w:rPr>
                <w:rFonts w:hint="eastAsia" w:ascii="宋体" w:hAnsi="宋体" w:eastAsia="宋体" w:cs="宋体"/>
                <w:sz w:val="24"/>
                <w:szCs w:val="24"/>
              </w:rPr>
            </w:pPr>
            <w:r>
              <w:rPr>
                <w:rFonts w:hint="eastAsia" w:ascii="宋体" w:hAnsi="宋体" w:eastAsia="宋体" w:cs="宋体"/>
                <w:position w:val="-7"/>
                <w:sz w:val="24"/>
                <w:szCs w:val="24"/>
              </w:rPr>
              <w:t>—</w:t>
            </w:r>
          </w:p>
        </w:tc>
      </w:tr>
    </w:tbl>
    <w:p w14:paraId="12F88B31">
      <w:pPr>
        <w:widowControl/>
        <w:spacing w:line="560" w:lineRule="exact"/>
        <w:rPr>
          <w:rFonts w:hint="eastAsia" w:ascii="宋体" w:hAnsi="宋体" w:eastAsia="宋体" w:cs="宋体"/>
          <w:spacing w:val="6"/>
          <w:sz w:val="32"/>
          <w:szCs w:val="32"/>
          <w:lang w:eastAsia="zh-CN" w:bidi="ar"/>
        </w:rPr>
      </w:pPr>
      <w:r>
        <w:rPr>
          <w:rFonts w:hint="eastAsia" w:ascii="宋体" w:hAnsi="宋体" w:eastAsia="宋体" w:cs="宋体"/>
          <w:spacing w:val="6"/>
          <w:sz w:val="32"/>
          <w:szCs w:val="32"/>
          <w:lang w:eastAsia="zh" w:bidi="ar"/>
          <w:woUserID w:val="2"/>
        </w:rPr>
        <w:t>4</w:t>
      </w:r>
      <w:r>
        <w:rPr>
          <w:rFonts w:hint="eastAsia" w:ascii="宋体" w:hAnsi="宋体" w:eastAsia="宋体" w:cs="宋体"/>
          <w:spacing w:val="6"/>
          <w:sz w:val="32"/>
          <w:szCs w:val="32"/>
          <w:lang w:bidi="ar"/>
        </w:rPr>
        <w:t>.2.2 住宅</w:t>
      </w:r>
      <w:r>
        <w:rPr>
          <w:rFonts w:hint="eastAsia" w:ascii="宋体" w:hAnsi="宋体" w:eastAsia="宋体" w:cs="宋体"/>
          <w:spacing w:val="6"/>
          <w:sz w:val="32"/>
          <w:szCs w:val="32"/>
          <w:lang w:eastAsia="zh" w:bidi="ar"/>
          <w:woUserID w:val="1"/>
        </w:rPr>
        <w:t>建筑</w:t>
      </w:r>
      <w:r>
        <w:rPr>
          <w:rFonts w:hint="eastAsia" w:ascii="宋体" w:hAnsi="宋体" w:eastAsia="宋体" w:cs="宋体"/>
          <w:spacing w:val="6"/>
          <w:sz w:val="32"/>
          <w:szCs w:val="32"/>
          <w:lang w:val="en-US" w:eastAsia="zh-CN" w:bidi="ar"/>
        </w:rPr>
        <w:t>中的居民</w:t>
      </w:r>
      <w:r>
        <w:rPr>
          <w:rFonts w:hint="eastAsia" w:ascii="宋体" w:hAnsi="宋体" w:eastAsia="宋体" w:cs="宋体"/>
          <w:spacing w:val="6"/>
          <w:sz w:val="32"/>
          <w:szCs w:val="32"/>
          <w:lang w:bidi="ar"/>
        </w:rPr>
        <w:t>负荷应由双电源供电</w:t>
      </w:r>
      <w:r>
        <w:rPr>
          <w:rFonts w:hint="eastAsia" w:ascii="宋体" w:hAnsi="宋体" w:eastAsia="宋体" w:cs="宋体"/>
          <w:spacing w:val="6"/>
          <w:sz w:val="32"/>
          <w:szCs w:val="32"/>
          <w:lang w:eastAsia="zh-CN" w:bidi="ar"/>
        </w:rPr>
        <w:t>。</w:t>
      </w:r>
    </w:p>
    <w:p w14:paraId="0271F7F7">
      <w:pPr>
        <w:widowControl/>
        <w:spacing w:line="560" w:lineRule="exact"/>
        <w:rPr>
          <w:rFonts w:hint="eastAsia" w:ascii="仿宋" w:hAnsi="仿宋" w:eastAsia="仿宋" w:cs="仿宋"/>
          <w:spacing w:val="6"/>
          <w:sz w:val="32"/>
          <w:szCs w:val="32"/>
          <w:lang w:eastAsia="zh-CN" w:bidi="ar"/>
        </w:rPr>
      </w:pPr>
    </w:p>
    <w:p w14:paraId="3681BCA4">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val="en-US" w:eastAsia="zh-CN" w:bidi="ar"/>
        </w:rPr>
        <w:t>4</w:t>
      </w:r>
      <w:r>
        <w:rPr>
          <w:rFonts w:hint="eastAsia" w:ascii="宋体" w:hAnsi="宋体" w:eastAsia="宋体" w:cs="宋体"/>
          <w:b/>
          <w:bCs/>
          <w:color w:val="000000"/>
          <w:spacing w:val="-6"/>
          <w:kern w:val="0"/>
          <w:sz w:val="32"/>
          <w:szCs w:val="32"/>
          <w:lang w:bidi="ar"/>
        </w:rPr>
        <w:t>.3 负荷计算</w:t>
      </w:r>
    </w:p>
    <w:p w14:paraId="55030969">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.3.1 对于住宅建筑的负荷计算，方案设计阶段可采用单位指标法和单位面积负荷密度法；初步设计及施工图设计阶段，宜采用单位指标法与需要系数法相结合的算法。</w:t>
      </w:r>
    </w:p>
    <w:p w14:paraId="668F9486">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.3.2 当</w:t>
      </w:r>
      <w:r>
        <w:rPr>
          <w:rFonts w:hint="eastAsia" w:ascii="宋体" w:hAnsi="宋体" w:eastAsia="宋体" w:cs="宋体"/>
          <w:spacing w:val="6"/>
          <w:kern w:val="2"/>
          <w:sz w:val="32"/>
          <w:szCs w:val="32"/>
          <w:lang w:val="en-US" w:eastAsia="zh-CN" w:bidi="ar"/>
        </w:rPr>
        <w:t>变压器</w:t>
      </w:r>
      <w:r>
        <w:rPr>
          <w:rFonts w:hint="eastAsia" w:ascii="宋体" w:hAnsi="宋体" w:eastAsia="宋体" w:cs="宋体"/>
          <w:spacing w:val="6"/>
          <w:kern w:val="2"/>
          <w:sz w:val="32"/>
          <w:szCs w:val="32"/>
          <w:lang w:bidi="ar"/>
        </w:rPr>
        <w:t>单相负荷的总计算容量小于计算范围内三相对称负荷总计算容量的15％时，应全部按三相对称负荷计算；当大于等于15％时，应将单相负荷换算为等效三相负荷，再与三相负荷相加。</w:t>
      </w:r>
    </w:p>
    <w:p w14:paraId="04934C57">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.3.3 每套住宅的用电负荷的选择不宜低于表</w:t>
      </w: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.3.3的规定。</w:t>
      </w:r>
    </w:p>
    <w:p w14:paraId="1BDFE9AF">
      <w:pPr>
        <w:pStyle w:val="8"/>
        <w:widowControl/>
        <w:spacing w:beforeAutospacing="0" w:afterAutospacing="0" w:line="560" w:lineRule="exact"/>
        <w:jc w:val="center"/>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eastAsia="zh"/>
          <w:woUserID w:val="2"/>
        </w:rPr>
        <w:t>4</w:t>
      </w:r>
      <w:r>
        <w:rPr>
          <w:rFonts w:hint="eastAsia" w:ascii="宋体" w:hAnsi="宋体" w:eastAsia="宋体" w:cs="宋体"/>
          <w:sz w:val="24"/>
          <w:szCs w:val="24"/>
        </w:rPr>
        <w:t>.3.3 每套住宅用电负荷的选择</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2304"/>
        <w:gridCol w:w="4508"/>
      </w:tblGrid>
      <w:tr w14:paraId="73F5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02" w:type="pct"/>
            <w:vAlign w:val="center"/>
          </w:tcPr>
          <w:p w14:paraId="58F2E8F5">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套型</w:t>
            </w:r>
          </w:p>
        </w:tc>
        <w:tc>
          <w:tcPr>
            <w:tcW w:w="1352" w:type="pct"/>
            <w:vAlign w:val="center"/>
          </w:tcPr>
          <w:p w14:paraId="347F584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建筑面积S（m</w:t>
            </w:r>
            <w:r>
              <w:rPr>
                <w:rFonts w:hint="eastAsia" w:ascii="宋体" w:hAnsi="宋体" w:eastAsia="宋体" w:cs="宋体"/>
                <w:sz w:val="24"/>
                <w:szCs w:val="24"/>
                <w:vertAlign w:val="superscript"/>
              </w:rPr>
              <w:t>2</w:t>
            </w:r>
            <w:r>
              <w:rPr>
                <w:rFonts w:hint="eastAsia" w:ascii="宋体" w:hAnsi="宋体" w:eastAsia="宋体" w:cs="宋体"/>
                <w:sz w:val="24"/>
                <w:szCs w:val="24"/>
              </w:rPr>
              <w:t>）</w:t>
            </w:r>
          </w:p>
        </w:tc>
        <w:tc>
          <w:tcPr>
            <w:tcW w:w="2645" w:type="pct"/>
            <w:vAlign w:val="center"/>
          </w:tcPr>
          <w:p w14:paraId="61C1540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用电负荷（kW）</w:t>
            </w:r>
          </w:p>
        </w:tc>
      </w:tr>
      <w:tr w14:paraId="4EEA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02" w:type="pct"/>
            <w:vAlign w:val="center"/>
          </w:tcPr>
          <w:p w14:paraId="3D783C6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A</w:t>
            </w:r>
          </w:p>
        </w:tc>
        <w:tc>
          <w:tcPr>
            <w:tcW w:w="1352" w:type="pct"/>
            <w:vAlign w:val="center"/>
          </w:tcPr>
          <w:p w14:paraId="422616F4">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S≤50</w:t>
            </w:r>
          </w:p>
        </w:tc>
        <w:tc>
          <w:tcPr>
            <w:tcW w:w="2645" w:type="pct"/>
            <w:vAlign w:val="center"/>
          </w:tcPr>
          <w:p w14:paraId="32707215">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4</w:t>
            </w:r>
          </w:p>
        </w:tc>
      </w:tr>
      <w:tr w14:paraId="477F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02" w:type="pct"/>
            <w:vAlign w:val="center"/>
          </w:tcPr>
          <w:p w14:paraId="3974882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B</w:t>
            </w:r>
          </w:p>
        </w:tc>
        <w:tc>
          <w:tcPr>
            <w:tcW w:w="1352" w:type="pct"/>
            <w:vAlign w:val="center"/>
          </w:tcPr>
          <w:p w14:paraId="2E28418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50＜S≤90</w:t>
            </w:r>
          </w:p>
        </w:tc>
        <w:tc>
          <w:tcPr>
            <w:tcW w:w="2645" w:type="pct"/>
            <w:vAlign w:val="center"/>
          </w:tcPr>
          <w:p w14:paraId="529D06BD">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8</w:t>
            </w:r>
          </w:p>
        </w:tc>
      </w:tr>
      <w:tr w14:paraId="19AD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002" w:type="pct"/>
            <w:vAlign w:val="center"/>
          </w:tcPr>
          <w:p w14:paraId="42477766">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C</w:t>
            </w:r>
          </w:p>
        </w:tc>
        <w:tc>
          <w:tcPr>
            <w:tcW w:w="1352" w:type="pct"/>
            <w:vAlign w:val="center"/>
          </w:tcPr>
          <w:p w14:paraId="6E70F35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90＜S≤140</w:t>
            </w:r>
          </w:p>
        </w:tc>
        <w:tc>
          <w:tcPr>
            <w:tcW w:w="2645" w:type="pct"/>
            <w:vAlign w:val="center"/>
          </w:tcPr>
          <w:p w14:paraId="6C26F81A">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12</w:t>
            </w:r>
          </w:p>
        </w:tc>
      </w:tr>
      <w:tr w14:paraId="438A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002" w:type="pct"/>
            <w:vAlign w:val="center"/>
          </w:tcPr>
          <w:p w14:paraId="2ADF254F">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D</w:t>
            </w:r>
          </w:p>
        </w:tc>
        <w:tc>
          <w:tcPr>
            <w:tcW w:w="1352" w:type="pct"/>
            <w:vAlign w:val="center"/>
          </w:tcPr>
          <w:p w14:paraId="46611BD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140＜S≤200</w:t>
            </w:r>
          </w:p>
        </w:tc>
        <w:tc>
          <w:tcPr>
            <w:tcW w:w="2645" w:type="pct"/>
            <w:vAlign w:val="center"/>
          </w:tcPr>
          <w:p w14:paraId="6C057A0B">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16</w:t>
            </w:r>
          </w:p>
        </w:tc>
      </w:tr>
      <w:tr w14:paraId="57C5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002" w:type="pct"/>
            <w:vAlign w:val="center"/>
          </w:tcPr>
          <w:p w14:paraId="612D8EB7">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E</w:t>
            </w:r>
          </w:p>
        </w:tc>
        <w:tc>
          <w:tcPr>
            <w:tcW w:w="1352" w:type="pct"/>
            <w:vAlign w:val="center"/>
          </w:tcPr>
          <w:p w14:paraId="1DBB387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S＞200</w:t>
            </w:r>
          </w:p>
        </w:tc>
        <w:tc>
          <w:tcPr>
            <w:tcW w:w="2645" w:type="pct"/>
            <w:vAlign w:val="center"/>
          </w:tcPr>
          <w:p w14:paraId="0C96DCF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80W/m</w:t>
            </w:r>
            <w:r>
              <w:rPr>
                <w:rFonts w:hint="eastAsia" w:ascii="宋体" w:hAnsi="宋体" w:eastAsia="宋体" w:cs="宋体"/>
                <w:sz w:val="24"/>
                <w:szCs w:val="24"/>
                <w:vertAlign w:val="superscript"/>
              </w:rPr>
              <w:t>2</w:t>
            </w:r>
          </w:p>
        </w:tc>
      </w:tr>
    </w:tbl>
    <w:p w14:paraId="4439A9F7">
      <w:pPr>
        <w:pStyle w:val="8"/>
        <w:widowControl/>
        <w:spacing w:beforeAutospacing="0" w:afterAutospacing="0" w:line="560" w:lineRule="exact"/>
        <w:jc w:val="both"/>
        <w:rPr>
          <w:rFonts w:hint="eastAsia" w:ascii="宋体" w:hAnsi="宋体" w:eastAsia="宋体" w:cs="宋体"/>
          <w:spacing w:val="6"/>
          <w:kern w:val="2"/>
          <w:sz w:val="21"/>
          <w:szCs w:val="21"/>
          <w:lang w:bidi="ar"/>
        </w:rPr>
      </w:pPr>
      <w:r>
        <w:rPr>
          <w:rFonts w:hint="eastAsia" w:ascii="宋体" w:hAnsi="宋体" w:eastAsia="宋体" w:cs="宋体"/>
          <w:spacing w:val="6"/>
          <w:kern w:val="2"/>
          <w:sz w:val="21"/>
          <w:szCs w:val="21"/>
          <w:lang w:eastAsia="zh" w:bidi="ar"/>
        </w:rPr>
        <w:t>注:装设供生活所需的特殊大功率用电设备的住宅,其基本配置容量根据实际需要确定。（电辅热设备）</w:t>
      </w:r>
    </w:p>
    <w:p w14:paraId="3015AE34">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w:t>
      </w:r>
      <w:r>
        <w:rPr>
          <w:rFonts w:hint="eastAsia" w:ascii="宋体" w:hAnsi="宋体" w:eastAsia="宋体" w:cs="宋体"/>
          <w:spacing w:val="6"/>
          <w:kern w:val="2"/>
          <w:sz w:val="32"/>
          <w:szCs w:val="32"/>
          <w:lang w:eastAsia="zh" w:bidi="ar"/>
        </w:rPr>
        <w:t>3</w:t>
      </w:r>
      <w:r>
        <w:rPr>
          <w:rFonts w:hint="eastAsia" w:ascii="宋体" w:hAnsi="宋体" w:eastAsia="宋体" w:cs="宋体"/>
          <w:spacing w:val="6"/>
          <w:kern w:val="2"/>
          <w:sz w:val="32"/>
          <w:szCs w:val="32"/>
          <w:lang w:bidi="ar"/>
        </w:rPr>
        <w:t>.4 住宅建筑用电负荷需要系数的取值可参考表</w:t>
      </w: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.3.4。</w:t>
      </w:r>
    </w:p>
    <w:p w14:paraId="11FFBAE3">
      <w:pPr>
        <w:pStyle w:val="8"/>
        <w:widowControl/>
        <w:spacing w:beforeAutospacing="0" w:afterAutospacing="0" w:line="560" w:lineRule="exact"/>
        <w:jc w:val="center"/>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eastAsia="zh"/>
          <w:woUserID w:val="2"/>
        </w:rPr>
        <w:t>4</w:t>
      </w:r>
      <w:r>
        <w:rPr>
          <w:rFonts w:hint="eastAsia" w:ascii="宋体" w:hAnsi="宋体" w:eastAsia="宋体" w:cs="宋体"/>
          <w:sz w:val="24"/>
          <w:szCs w:val="24"/>
        </w:rPr>
        <w:t>.</w:t>
      </w:r>
      <w:r>
        <w:rPr>
          <w:rFonts w:hint="eastAsia" w:ascii="宋体" w:hAnsi="宋体" w:eastAsia="宋体" w:cs="宋体"/>
          <w:sz w:val="24"/>
          <w:szCs w:val="24"/>
          <w:lang w:eastAsia="zh"/>
        </w:rPr>
        <w:t>3</w:t>
      </w:r>
      <w:r>
        <w:rPr>
          <w:rFonts w:hint="eastAsia" w:ascii="宋体" w:hAnsi="宋体" w:eastAsia="宋体" w:cs="宋体"/>
          <w:sz w:val="24"/>
          <w:szCs w:val="24"/>
        </w:rPr>
        <w:t>.4 住宅建筑用电负荷需要系数kx</w:t>
      </w:r>
    </w:p>
    <w:tbl>
      <w:tblPr>
        <w:tblStyle w:val="10"/>
        <w:tblW w:w="4997" w:type="pct"/>
        <w:jc w:val="center"/>
        <w:tblLayout w:type="autofit"/>
        <w:tblCellMar>
          <w:top w:w="0" w:type="dxa"/>
          <w:left w:w="108" w:type="dxa"/>
          <w:bottom w:w="0" w:type="dxa"/>
          <w:right w:w="108" w:type="dxa"/>
        </w:tblCellMar>
      </w:tblPr>
      <w:tblGrid>
        <w:gridCol w:w="3318"/>
        <w:gridCol w:w="3321"/>
        <w:gridCol w:w="1878"/>
      </w:tblGrid>
      <w:tr w14:paraId="63DC4F16">
        <w:tblPrEx>
          <w:tblCellMar>
            <w:top w:w="0" w:type="dxa"/>
            <w:left w:w="108" w:type="dxa"/>
            <w:bottom w:w="0" w:type="dxa"/>
            <w:right w:w="108" w:type="dxa"/>
          </w:tblCellMar>
        </w:tblPrEx>
        <w:trPr>
          <w:trHeight w:val="560" w:hRule="atLeast"/>
          <w:jc w:val="center"/>
        </w:trPr>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ECA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按单相配电计算时</w:t>
            </w:r>
          </w:p>
          <w:p w14:paraId="78CEC507">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所连接的基本户数</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C3460">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按三相配电计算时</w:t>
            </w:r>
          </w:p>
          <w:p w14:paraId="1CC60554">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所连接的基本户数</w:t>
            </w:r>
          </w:p>
        </w:tc>
        <w:tc>
          <w:tcPr>
            <w:tcW w:w="11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C340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需要系数</w:t>
            </w:r>
          </w:p>
        </w:tc>
      </w:tr>
      <w:tr w14:paraId="554C8743">
        <w:tblPrEx>
          <w:tblCellMar>
            <w:top w:w="0" w:type="dxa"/>
            <w:left w:w="108" w:type="dxa"/>
            <w:bottom w:w="0" w:type="dxa"/>
            <w:right w:w="108" w:type="dxa"/>
          </w:tblCellMar>
        </w:tblPrEx>
        <w:trPr>
          <w:trHeight w:val="313" w:hRule="atLeast"/>
          <w:jc w:val="center"/>
        </w:trPr>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50F2F">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1~3</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7AD4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3~9</w:t>
            </w:r>
          </w:p>
        </w:tc>
        <w:tc>
          <w:tcPr>
            <w:tcW w:w="11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9DFFB">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0.90~1</w:t>
            </w:r>
          </w:p>
        </w:tc>
      </w:tr>
      <w:tr w14:paraId="103DD2A3">
        <w:tblPrEx>
          <w:tblCellMar>
            <w:top w:w="0" w:type="dxa"/>
            <w:left w:w="108" w:type="dxa"/>
            <w:bottom w:w="0" w:type="dxa"/>
            <w:right w:w="108" w:type="dxa"/>
          </w:tblCellMar>
        </w:tblPrEx>
        <w:trPr>
          <w:trHeight w:val="313" w:hRule="atLeast"/>
          <w:jc w:val="center"/>
        </w:trPr>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6FD37">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4~8</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1C18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12~24</w:t>
            </w:r>
          </w:p>
        </w:tc>
        <w:tc>
          <w:tcPr>
            <w:tcW w:w="11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4321">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0.65~0.90</w:t>
            </w:r>
          </w:p>
        </w:tc>
      </w:tr>
      <w:tr w14:paraId="2AA6AA2B">
        <w:tblPrEx>
          <w:tblCellMar>
            <w:top w:w="0" w:type="dxa"/>
            <w:left w:w="108" w:type="dxa"/>
            <w:bottom w:w="0" w:type="dxa"/>
            <w:right w:w="108" w:type="dxa"/>
          </w:tblCellMar>
        </w:tblPrEx>
        <w:trPr>
          <w:trHeight w:val="313" w:hRule="atLeast"/>
          <w:jc w:val="center"/>
        </w:trPr>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9C535">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9~12</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E9D66">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27~36</w:t>
            </w:r>
          </w:p>
        </w:tc>
        <w:tc>
          <w:tcPr>
            <w:tcW w:w="11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348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0.50~0.65</w:t>
            </w:r>
          </w:p>
        </w:tc>
      </w:tr>
      <w:tr w14:paraId="72B42ED3">
        <w:tblPrEx>
          <w:tblCellMar>
            <w:top w:w="0" w:type="dxa"/>
            <w:left w:w="108" w:type="dxa"/>
            <w:bottom w:w="0" w:type="dxa"/>
            <w:right w:w="108" w:type="dxa"/>
          </w:tblCellMar>
        </w:tblPrEx>
        <w:trPr>
          <w:trHeight w:val="313" w:hRule="atLeast"/>
          <w:jc w:val="center"/>
        </w:trPr>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14A2">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13~24</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3FFBA">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39~72</w:t>
            </w:r>
          </w:p>
        </w:tc>
        <w:tc>
          <w:tcPr>
            <w:tcW w:w="11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ECD35">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0.45~0.50</w:t>
            </w:r>
          </w:p>
        </w:tc>
      </w:tr>
      <w:tr w14:paraId="1D55DBFC">
        <w:tblPrEx>
          <w:tblCellMar>
            <w:top w:w="0" w:type="dxa"/>
            <w:left w:w="108" w:type="dxa"/>
            <w:bottom w:w="0" w:type="dxa"/>
            <w:right w:w="108" w:type="dxa"/>
          </w:tblCellMar>
        </w:tblPrEx>
        <w:trPr>
          <w:trHeight w:val="313" w:hRule="atLeast"/>
          <w:jc w:val="center"/>
        </w:trPr>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7DF6D">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25~124</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A8510">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75~372</w:t>
            </w:r>
          </w:p>
        </w:tc>
        <w:tc>
          <w:tcPr>
            <w:tcW w:w="11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6AE9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0.40~0.45</w:t>
            </w:r>
          </w:p>
        </w:tc>
      </w:tr>
      <w:tr w14:paraId="03294661">
        <w:tblPrEx>
          <w:tblCellMar>
            <w:top w:w="0" w:type="dxa"/>
            <w:left w:w="108" w:type="dxa"/>
            <w:bottom w:w="0" w:type="dxa"/>
            <w:right w:w="108" w:type="dxa"/>
          </w:tblCellMar>
        </w:tblPrEx>
        <w:trPr>
          <w:trHeight w:val="313" w:hRule="atLeast"/>
          <w:jc w:val="center"/>
        </w:trPr>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05D30">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125~259</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09B6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375~777</w:t>
            </w:r>
          </w:p>
        </w:tc>
        <w:tc>
          <w:tcPr>
            <w:tcW w:w="11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3A6C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0.30~0.40</w:t>
            </w:r>
          </w:p>
        </w:tc>
      </w:tr>
      <w:tr w14:paraId="7E1963F2">
        <w:tblPrEx>
          <w:tblCellMar>
            <w:top w:w="0" w:type="dxa"/>
            <w:left w:w="108" w:type="dxa"/>
            <w:bottom w:w="0" w:type="dxa"/>
            <w:right w:w="108" w:type="dxa"/>
          </w:tblCellMar>
        </w:tblPrEx>
        <w:trPr>
          <w:trHeight w:val="313" w:hRule="atLeast"/>
          <w:jc w:val="center"/>
        </w:trPr>
        <w:tc>
          <w:tcPr>
            <w:tcW w:w="19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9D61">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260~300</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FB1D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780~900</w:t>
            </w:r>
          </w:p>
        </w:tc>
        <w:tc>
          <w:tcPr>
            <w:tcW w:w="11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7D7E4">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0.26~0.30</w:t>
            </w:r>
          </w:p>
        </w:tc>
      </w:tr>
    </w:tbl>
    <w:p w14:paraId="393F3BD3">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w:t>
      </w:r>
      <w:r>
        <w:rPr>
          <w:rFonts w:hint="eastAsia" w:ascii="宋体" w:hAnsi="宋体" w:eastAsia="宋体" w:cs="宋体"/>
          <w:spacing w:val="6"/>
          <w:kern w:val="2"/>
          <w:sz w:val="32"/>
          <w:szCs w:val="32"/>
          <w:lang w:eastAsia="zh" w:bidi="ar"/>
        </w:rPr>
        <w:t>3</w:t>
      </w:r>
      <w:r>
        <w:rPr>
          <w:rFonts w:hint="eastAsia" w:ascii="宋体" w:hAnsi="宋体" w:eastAsia="宋体" w:cs="宋体"/>
          <w:spacing w:val="6"/>
          <w:kern w:val="2"/>
          <w:sz w:val="32"/>
          <w:szCs w:val="32"/>
          <w:lang w:bidi="ar"/>
        </w:rPr>
        <w:t>.5 每套住宅用电负荷功率不大于12kW时，宜单相进户，配置单相电能表；超过12kW或有三相电器设备时，应采用三相进户，配置三相电能表。</w:t>
      </w:r>
    </w:p>
    <w:p w14:paraId="623B724D">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w:t>
      </w:r>
      <w:r>
        <w:rPr>
          <w:rFonts w:hint="eastAsia" w:ascii="宋体" w:hAnsi="宋体" w:eastAsia="宋体" w:cs="宋体"/>
          <w:spacing w:val="6"/>
          <w:kern w:val="2"/>
          <w:sz w:val="32"/>
          <w:szCs w:val="32"/>
          <w:lang w:eastAsia="zh" w:bidi="ar"/>
        </w:rPr>
        <w:t>3</w:t>
      </w:r>
      <w:r>
        <w:rPr>
          <w:rFonts w:hint="eastAsia" w:ascii="宋体" w:hAnsi="宋体" w:eastAsia="宋体" w:cs="宋体"/>
          <w:spacing w:val="6"/>
          <w:kern w:val="2"/>
          <w:sz w:val="32"/>
          <w:szCs w:val="32"/>
          <w:lang w:bidi="ar"/>
        </w:rPr>
        <w:t>.6 电动汽车快充装置按实际设备容量计算用电负荷。除电动汽车快速充电专用区域外，住宅</w:t>
      </w:r>
      <w:r>
        <w:rPr>
          <w:rFonts w:hint="eastAsia" w:ascii="宋体" w:hAnsi="宋体" w:eastAsia="宋体" w:cs="宋体"/>
          <w:spacing w:val="6"/>
          <w:kern w:val="2"/>
          <w:sz w:val="32"/>
          <w:szCs w:val="32"/>
          <w:lang w:eastAsia="zh" w:bidi="ar"/>
          <w:woUserID w:val="1"/>
        </w:rPr>
        <w:t>建筑</w:t>
      </w:r>
      <w:r>
        <w:rPr>
          <w:rFonts w:hint="eastAsia" w:ascii="宋体" w:hAnsi="宋体" w:eastAsia="宋体" w:cs="宋体"/>
          <w:spacing w:val="6"/>
          <w:kern w:val="2"/>
          <w:sz w:val="32"/>
          <w:szCs w:val="32"/>
          <w:lang w:bidi="ar"/>
        </w:rPr>
        <w:t>内的其他车位宜按慢充方式计算用电负荷，每个充电设施宜采用220V交流电压，充电功率按7千瓦计算。多台交流充电桩需要系数Kx推荐值参照表</w:t>
      </w: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rPr>
        <w:t>.</w:t>
      </w:r>
      <w:r>
        <w:rPr>
          <w:rFonts w:hint="eastAsia" w:ascii="宋体" w:hAnsi="宋体" w:eastAsia="宋体" w:cs="宋体"/>
          <w:spacing w:val="6"/>
          <w:kern w:val="2"/>
          <w:sz w:val="32"/>
          <w:szCs w:val="32"/>
          <w:lang w:eastAsia="zh" w:bidi="ar"/>
        </w:rPr>
        <w:t>3</w:t>
      </w:r>
      <w:r>
        <w:rPr>
          <w:rFonts w:hint="eastAsia" w:ascii="宋体" w:hAnsi="宋体" w:eastAsia="宋体" w:cs="宋体"/>
          <w:spacing w:val="6"/>
          <w:kern w:val="2"/>
          <w:sz w:val="32"/>
          <w:szCs w:val="32"/>
          <w:lang w:bidi="ar"/>
        </w:rPr>
        <w:t>.6</w:t>
      </w:r>
      <w:r>
        <w:rPr>
          <w:rFonts w:hint="eastAsia" w:ascii="宋体" w:hAnsi="宋体" w:eastAsia="宋体" w:cs="宋体"/>
          <w:spacing w:val="6"/>
          <w:kern w:val="2"/>
          <w:sz w:val="32"/>
          <w:szCs w:val="32"/>
          <w:lang w:eastAsia="zh" w:bidi="ar"/>
        </w:rPr>
        <w:t xml:space="preserve"> </w:t>
      </w:r>
      <w:r>
        <w:rPr>
          <w:rFonts w:hint="eastAsia" w:ascii="宋体" w:hAnsi="宋体" w:eastAsia="宋体" w:cs="宋体"/>
          <w:spacing w:val="6"/>
          <w:kern w:val="2"/>
          <w:sz w:val="32"/>
          <w:szCs w:val="32"/>
          <w:lang w:bidi="ar"/>
        </w:rPr>
        <w:t>。</w:t>
      </w:r>
    </w:p>
    <w:p w14:paraId="6521056A">
      <w:pPr>
        <w:pStyle w:val="8"/>
        <w:widowControl/>
        <w:spacing w:beforeAutospacing="0" w:afterAutospacing="0" w:line="560" w:lineRule="exact"/>
        <w:jc w:val="center"/>
        <w:rPr>
          <w:rFonts w:hint="eastAsia" w:ascii="宋体" w:hAnsi="宋体" w:eastAsia="宋体" w:cs="宋体"/>
          <w:spacing w:val="6"/>
          <w:kern w:val="2"/>
          <w:sz w:val="24"/>
          <w:szCs w:val="24"/>
          <w:lang w:bidi="ar"/>
        </w:rPr>
      </w:pPr>
      <w:r>
        <w:rPr>
          <w:rFonts w:hint="eastAsia" w:ascii="宋体" w:hAnsi="宋体" w:eastAsia="宋体" w:cs="宋体"/>
          <w:spacing w:val="6"/>
          <w:kern w:val="2"/>
          <w:sz w:val="24"/>
          <w:szCs w:val="24"/>
          <w:lang w:bidi="ar"/>
        </w:rPr>
        <w:t>表</w:t>
      </w:r>
      <w:r>
        <w:rPr>
          <w:rFonts w:hint="eastAsia" w:ascii="宋体" w:hAnsi="宋体" w:eastAsia="宋体" w:cs="宋体"/>
          <w:spacing w:val="6"/>
          <w:kern w:val="2"/>
          <w:sz w:val="24"/>
          <w:szCs w:val="24"/>
          <w:lang w:eastAsia="zh" w:bidi="ar"/>
          <w:woUserID w:val="2"/>
        </w:rPr>
        <w:t>4</w:t>
      </w:r>
      <w:r>
        <w:rPr>
          <w:rFonts w:hint="eastAsia" w:ascii="宋体" w:hAnsi="宋体" w:eastAsia="宋体" w:cs="宋体"/>
          <w:spacing w:val="6"/>
          <w:kern w:val="2"/>
          <w:sz w:val="24"/>
          <w:szCs w:val="24"/>
          <w:lang w:bidi="ar"/>
        </w:rPr>
        <w:t>.</w:t>
      </w:r>
      <w:r>
        <w:rPr>
          <w:rFonts w:hint="eastAsia" w:ascii="宋体" w:hAnsi="宋体" w:eastAsia="宋体" w:cs="宋体"/>
          <w:spacing w:val="6"/>
          <w:kern w:val="2"/>
          <w:sz w:val="24"/>
          <w:szCs w:val="24"/>
          <w:lang w:eastAsia="zh" w:bidi="ar"/>
        </w:rPr>
        <w:t>3</w:t>
      </w:r>
      <w:r>
        <w:rPr>
          <w:rFonts w:hint="eastAsia" w:ascii="宋体" w:hAnsi="宋体" w:eastAsia="宋体" w:cs="宋体"/>
          <w:spacing w:val="6"/>
          <w:kern w:val="2"/>
          <w:sz w:val="24"/>
          <w:szCs w:val="24"/>
          <w:lang w:bidi="ar"/>
        </w:rPr>
        <w:t>.6 多台交流充电桩需要系数Kx推荐值</w:t>
      </w:r>
    </w:p>
    <w:tbl>
      <w:tblPr>
        <w:tblStyle w:val="17"/>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452"/>
        <w:gridCol w:w="2736"/>
        <w:gridCol w:w="3131"/>
      </w:tblGrid>
      <w:tr w14:paraId="56F82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jc w:val="center"/>
        </w:trPr>
        <w:tc>
          <w:tcPr>
            <w:tcW w:w="1473" w:type="pct"/>
            <w:tcBorders>
              <w:tl2br w:val="nil"/>
              <w:tr2bl w:val="nil"/>
            </w:tcBorders>
            <w:vAlign w:val="center"/>
          </w:tcPr>
          <w:p w14:paraId="7EC78F61">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充电设备类型</w:t>
            </w:r>
          </w:p>
        </w:tc>
        <w:tc>
          <w:tcPr>
            <w:tcW w:w="1644" w:type="pct"/>
            <w:tcBorders>
              <w:tl2br w:val="nil"/>
              <w:tr2bl w:val="nil"/>
            </w:tcBorders>
            <w:vAlign w:val="center"/>
          </w:tcPr>
          <w:p w14:paraId="0A678846">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接在同一回路上的台数</w:t>
            </w:r>
          </w:p>
        </w:tc>
        <w:tc>
          <w:tcPr>
            <w:tcW w:w="1881" w:type="pct"/>
            <w:tcBorders>
              <w:tl2br w:val="nil"/>
              <w:tr2bl w:val="nil"/>
            </w:tcBorders>
            <w:vAlign w:val="center"/>
          </w:tcPr>
          <w:p w14:paraId="27CA1C0A">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需要系数</w:t>
            </w:r>
          </w:p>
        </w:tc>
      </w:tr>
      <w:tr w14:paraId="67747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restart"/>
            <w:tcBorders>
              <w:tl2br w:val="nil"/>
              <w:tr2bl w:val="nil"/>
            </w:tcBorders>
            <w:vAlign w:val="center"/>
          </w:tcPr>
          <w:p w14:paraId="156FE20C">
            <w:pPr>
              <w:pStyle w:val="8"/>
              <w:widowControl/>
              <w:spacing w:beforeAutospacing="0" w:afterAutospacing="0" w:line="240" w:lineRule="auto"/>
              <w:jc w:val="center"/>
              <w:rPr>
                <w:rFonts w:hint="eastAsia" w:ascii="宋体" w:hAnsi="宋体" w:eastAsia="宋体" w:cs="宋体"/>
                <w:sz w:val="24"/>
                <w:szCs w:val="24"/>
              </w:rPr>
            </w:pPr>
          </w:p>
          <w:p w14:paraId="22E57B6E">
            <w:pPr>
              <w:pStyle w:val="8"/>
              <w:widowControl/>
              <w:spacing w:beforeAutospacing="0" w:afterAutospacing="0" w:line="240" w:lineRule="auto"/>
              <w:jc w:val="center"/>
              <w:rPr>
                <w:rFonts w:hint="eastAsia" w:ascii="宋体" w:hAnsi="宋体" w:eastAsia="宋体" w:cs="宋体"/>
                <w:sz w:val="24"/>
                <w:szCs w:val="24"/>
              </w:rPr>
            </w:pPr>
          </w:p>
          <w:p w14:paraId="44F54BE0">
            <w:pPr>
              <w:pStyle w:val="8"/>
              <w:widowControl/>
              <w:spacing w:beforeAutospacing="0" w:afterAutospacing="0" w:line="240" w:lineRule="auto"/>
              <w:jc w:val="center"/>
              <w:rPr>
                <w:rFonts w:hint="eastAsia" w:ascii="宋体" w:hAnsi="宋体" w:eastAsia="宋体" w:cs="宋体"/>
                <w:sz w:val="24"/>
                <w:szCs w:val="24"/>
              </w:rPr>
            </w:pPr>
          </w:p>
          <w:p w14:paraId="7909D557">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单相交流充电桩</w:t>
            </w:r>
          </w:p>
        </w:tc>
        <w:tc>
          <w:tcPr>
            <w:tcW w:w="1644" w:type="pct"/>
            <w:tcBorders>
              <w:tl2br w:val="nil"/>
              <w:tr2bl w:val="nil"/>
            </w:tcBorders>
            <w:vAlign w:val="center"/>
          </w:tcPr>
          <w:p w14:paraId="2518938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881" w:type="pct"/>
            <w:tcBorders>
              <w:tl2br w:val="nil"/>
              <w:tr2bl w:val="nil"/>
            </w:tcBorders>
            <w:vAlign w:val="center"/>
          </w:tcPr>
          <w:p w14:paraId="7D6E433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1. 00</w:t>
            </w:r>
          </w:p>
        </w:tc>
      </w:tr>
      <w:tr w14:paraId="7E44C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72456336">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7483B630">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881" w:type="pct"/>
            <w:tcBorders>
              <w:tl2br w:val="nil"/>
              <w:tr2bl w:val="nil"/>
            </w:tcBorders>
            <w:vAlign w:val="center"/>
          </w:tcPr>
          <w:p w14:paraId="22F6B4E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87 ~0. 94</w:t>
            </w:r>
          </w:p>
        </w:tc>
      </w:tr>
      <w:tr w14:paraId="395FB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1759CB2E">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01F72502">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881" w:type="pct"/>
            <w:tcBorders>
              <w:tl2br w:val="nil"/>
              <w:tr2bl w:val="nil"/>
            </w:tcBorders>
            <w:vAlign w:val="center"/>
          </w:tcPr>
          <w:p w14:paraId="0B9E0244">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78 ~0. 86</w:t>
            </w:r>
          </w:p>
        </w:tc>
      </w:tr>
      <w:tr w14:paraId="1E54F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220911D4">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08A07C46">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10</w:t>
            </w:r>
          </w:p>
        </w:tc>
        <w:tc>
          <w:tcPr>
            <w:tcW w:w="1881" w:type="pct"/>
            <w:tcBorders>
              <w:tl2br w:val="nil"/>
              <w:tr2bl w:val="nil"/>
            </w:tcBorders>
            <w:vAlign w:val="center"/>
          </w:tcPr>
          <w:p w14:paraId="5C66EFC6">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66 ~0. 74</w:t>
            </w:r>
          </w:p>
        </w:tc>
      </w:tr>
      <w:tr w14:paraId="0EF34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14CE4364">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77668D22">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15</w:t>
            </w:r>
          </w:p>
        </w:tc>
        <w:tc>
          <w:tcPr>
            <w:tcW w:w="1881" w:type="pct"/>
            <w:tcBorders>
              <w:tl2br w:val="nil"/>
              <w:tr2bl w:val="nil"/>
            </w:tcBorders>
            <w:vAlign w:val="center"/>
          </w:tcPr>
          <w:p w14:paraId="5C1EC65A">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56 ~0. 64</w:t>
            </w:r>
          </w:p>
        </w:tc>
      </w:tr>
      <w:tr w14:paraId="187FC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5E515478">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3157FBF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20</w:t>
            </w:r>
          </w:p>
        </w:tc>
        <w:tc>
          <w:tcPr>
            <w:tcW w:w="1881" w:type="pct"/>
            <w:tcBorders>
              <w:tl2br w:val="nil"/>
              <w:tr2bl w:val="nil"/>
            </w:tcBorders>
            <w:vAlign w:val="center"/>
          </w:tcPr>
          <w:p w14:paraId="178E006D">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47 ~0. 55</w:t>
            </w:r>
          </w:p>
        </w:tc>
      </w:tr>
      <w:tr w14:paraId="47132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7A4F20B8">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2F06265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25</w:t>
            </w:r>
          </w:p>
        </w:tc>
        <w:tc>
          <w:tcPr>
            <w:tcW w:w="1881" w:type="pct"/>
            <w:tcBorders>
              <w:tl2br w:val="nil"/>
              <w:tr2bl w:val="nil"/>
            </w:tcBorders>
            <w:vAlign w:val="center"/>
          </w:tcPr>
          <w:p w14:paraId="0E591802">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42 ~0. 50</w:t>
            </w:r>
          </w:p>
        </w:tc>
      </w:tr>
      <w:tr w14:paraId="37400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4D30DCBC">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6383157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30</w:t>
            </w:r>
          </w:p>
        </w:tc>
        <w:tc>
          <w:tcPr>
            <w:tcW w:w="1881" w:type="pct"/>
            <w:tcBorders>
              <w:tl2br w:val="nil"/>
              <w:tr2bl w:val="nil"/>
            </w:tcBorders>
            <w:vAlign w:val="center"/>
          </w:tcPr>
          <w:p w14:paraId="7DDB5A3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38 ~0. 45</w:t>
            </w:r>
          </w:p>
        </w:tc>
      </w:tr>
      <w:tr w14:paraId="616A4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6BD6AE7D">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039EB38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40</w:t>
            </w:r>
          </w:p>
        </w:tc>
        <w:tc>
          <w:tcPr>
            <w:tcW w:w="1881" w:type="pct"/>
            <w:tcBorders>
              <w:tl2br w:val="nil"/>
              <w:tr2bl w:val="nil"/>
            </w:tcBorders>
            <w:vAlign w:val="center"/>
          </w:tcPr>
          <w:p w14:paraId="572C1B9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32 ~0. 38</w:t>
            </w:r>
          </w:p>
        </w:tc>
      </w:tr>
      <w:tr w14:paraId="38328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jc w:val="center"/>
        </w:trPr>
        <w:tc>
          <w:tcPr>
            <w:tcW w:w="1473" w:type="pct"/>
            <w:vMerge w:val="continue"/>
            <w:tcBorders>
              <w:tl2br w:val="nil"/>
              <w:tr2bl w:val="nil"/>
            </w:tcBorders>
            <w:vAlign w:val="center"/>
          </w:tcPr>
          <w:p w14:paraId="5D10FF86">
            <w:pPr>
              <w:pStyle w:val="8"/>
              <w:widowControl/>
              <w:spacing w:beforeAutospacing="0" w:afterAutospacing="0" w:line="240" w:lineRule="auto"/>
              <w:jc w:val="center"/>
              <w:rPr>
                <w:rFonts w:hint="eastAsia" w:ascii="宋体" w:hAnsi="宋体" w:eastAsia="宋体" w:cs="宋体"/>
                <w:sz w:val="24"/>
                <w:szCs w:val="24"/>
              </w:rPr>
            </w:pPr>
          </w:p>
        </w:tc>
        <w:tc>
          <w:tcPr>
            <w:tcW w:w="1644" w:type="pct"/>
            <w:tcBorders>
              <w:tl2br w:val="nil"/>
              <w:tr2bl w:val="nil"/>
            </w:tcBorders>
            <w:vAlign w:val="center"/>
          </w:tcPr>
          <w:p w14:paraId="655CAF62">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50</w:t>
            </w:r>
          </w:p>
        </w:tc>
        <w:tc>
          <w:tcPr>
            <w:tcW w:w="1881" w:type="pct"/>
            <w:tcBorders>
              <w:tl2br w:val="nil"/>
              <w:tr2bl w:val="nil"/>
            </w:tcBorders>
            <w:vAlign w:val="center"/>
          </w:tcPr>
          <w:p w14:paraId="6CA78C9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0. 29 ~0. 36</w:t>
            </w:r>
          </w:p>
        </w:tc>
      </w:tr>
    </w:tbl>
    <w:p w14:paraId="31C1D7D9">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val="en-US" w:eastAsia="zh-CN" w:bidi="ar"/>
        </w:rPr>
        <w:t>4.4</w:t>
      </w:r>
      <w:r>
        <w:rPr>
          <w:rFonts w:hint="eastAsia" w:ascii="宋体" w:hAnsi="宋体" w:eastAsia="宋体" w:cs="宋体"/>
          <w:b/>
          <w:bCs/>
          <w:color w:val="000000"/>
          <w:spacing w:val="-6"/>
          <w:kern w:val="0"/>
          <w:sz w:val="32"/>
          <w:szCs w:val="32"/>
          <w:lang w:eastAsia="zh" w:bidi="ar"/>
        </w:rPr>
        <w:t xml:space="preserve"> </w:t>
      </w:r>
      <w:r>
        <w:rPr>
          <w:rFonts w:hint="eastAsia" w:ascii="宋体" w:hAnsi="宋体" w:eastAsia="宋体" w:cs="宋体"/>
          <w:b/>
          <w:bCs/>
          <w:color w:val="000000"/>
          <w:spacing w:val="-6"/>
          <w:kern w:val="0"/>
          <w:sz w:val="32"/>
          <w:szCs w:val="32"/>
          <w:lang w:bidi="ar"/>
        </w:rPr>
        <w:t>自备电源</w:t>
      </w:r>
    </w:p>
    <w:p w14:paraId="06FB16B3">
      <w:pPr>
        <w:widowControl/>
        <w:kinsoku w:val="0"/>
        <w:autoSpaceDE w:val="0"/>
        <w:autoSpaceDN w:val="0"/>
        <w:adjustRightInd w:val="0"/>
        <w:snapToGrid w:val="0"/>
        <w:spacing w:line="560" w:lineRule="exact"/>
        <w:ind w:right="9"/>
        <w:textAlignment w:val="baseline"/>
        <w:rPr>
          <w:rFonts w:hint="eastAsia" w:ascii="仿宋" w:hAnsi="仿宋" w:eastAsia="仿宋" w:cs="仿宋"/>
          <w:spacing w:val="6"/>
          <w:sz w:val="32"/>
          <w:szCs w:val="32"/>
          <w:lang w:bidi="ar"/>
        </w:rPr>
      </w:pPr>
      <w:r>
        <w:rPr>
          <w:rFonts w:hint="eastAsia" w:ascii="宋体" w:hAnsi="宋体" w:eastAsia="宋体" w:cs="宋体"/>
          <w:spacing w:val="6"/>
          <w:sz w:val="32"/>
          <w:szCs w:val="32"/>
          <w:lang w:eastAsia="zh" w:bidi="ar"/>
          <w:woUserID w:val="2"/>
        </w:rPr>
        <w:t>4</w:t>
      </w:r>
      <w:r>
        <w:rPr>
          <w:rFonts w:hint="eastAsia" w:ascii="宋体" w:hAnsi="宋体" w:eastAsia="宋体" w:cs="宋体"/>
          <w:spacing w:val="6"/>
          <w:sz w:val="32"/>
          <w:szCs w:val="32"/>
          <w:lang w:eastAsia="zh" w:bidi="ar"/>
        </w:rPr>
        <w:t>.</w:t>
      </w:r>
      <w:r>
        <w:rPr>
          <w:rFonts w:hint="eastAsia" w:ascii="宋体" w:hAnsi="宋体" w:eastAsia="宋体" w:cs="宋体"/>
          <w:spacing w:val="6"/>
          <w:sz w:val="32"/>
          <w:szCs w:val="32"/>
          <w:lang w:eastAsia="zh" w:bidi="ar"/>
          <w:woUserID w:val="2"/>
        </w:rPr>
        <w:t>4</w:t>
      </w:r>
      <w:r>
        <w:rPr>
          <w:rFonts w:hint="eastAsia" w:ascii="宋体" w:hAnsi="宋体" w:eastAsia="宋体" w:cs="宋体"/>
          <w:spacing w:val="6"/>
          <w:sz w:val="32"/>
          <w:szCs w:val="32"/>
          <w:lang w:eastAsia="zh" w:bidi="ar"/>
        </w:rPr>
        <w:t xml:space="preserve">.1 </w:t>
      </w:r>
      <w:r>
        <w:rPr>
          <w:rFonts w:hint="eastAsia" w:ascii="宋体" w:hAnsi="宋体" w:eastAsia="宋体" w:cs="宋体"/>
          <w:spacing w:val="6"/>
          <w:sz w:val="32"/>
          <w:szCs w:val="32"/>
          <w:lang w:bidi="ar"/>
        </w:rPr>
        <w:t>应急电源装置可作为住宅建筑应急照明系统的备用电源，应急照明连续供电时间应满足国家和地方现行有</w:t>
      </w:r>
      <w:r>
        <w:rPr>
          <w:rFonts w:hint="eastAsia" w:ascii="仿宋" w:hAnsi="仿宋" w:eastAsia="仿宋" w:cs="仿宋"/>
          <w:spacing w:val="6"/>
          <w:sz w:val="32"/>
          <w:szCs w:val="32"/>
          <w:lang w:bidi="ar"/>
        </w:rPr>
        <w:t>关防火标准的要求。</w:t>
      </w:r>
    </w:p>
    <w:p w14:paraId="6D621BD5">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eastAsia="zh" w:bidi="ar"/>
        </w:rPr>
        <w:t>.</w:t>
      </w: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eastAsia="zh" w:bidi="ar"/>
        </w:rPr>
        <w:t>.2</w:t>
      </w:r>
      <w:r>
        <w:rPr>
          <w:rFonts w:hint="eastAsia" w:ascii="宋体" w:hAnsi="宋体" w:eastAsia="宋体" w:cs="宋体"/>
          <w:spacing w:val="6"/>
          <w:kern w:val="2"/>
          <w:sz w:val="32"/>
          <w:szCs w:val="32"/>
          <w:lang w:bidi="ar"/>
        </w:rPr>
        <w:t xml:space="preserve"> 应急电源与正常电源之间必须采取防止并列运行的措施。</w:t>
      </w:r>
    </w:p>
    <w:p w14:paraId="303819CE">
      <w:pPr>
        <w:pStyle w:val="8"/>
        <w:widowControl/>
        <w:kinsoku w:val="0"/>
        <w:autoSpaceDE w:val="0"/>
        <w:autoSpaceDN w:val="0"/>
        <w:adjustRightInd w:val="0"/>
        <w:snapToGrid w:val="0"/>
        <w:spacing w:beforeAutospacing="0" w:afterAutospacing="0" w:line="560" w:lineRule="exact"/>
        <w:ind w:right="81"/>
        <w:jc w:val="both"/>
        <w:textAlignment w:val="baseline"/>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val="en-US" w:eastAsia="zh" w:bidi="ar"/>
          <w:woUserID w:val="2"/>
        </w:rPr>
        <w:t>4</w:t>
      </w:r>
      <w:r>
        <w:rPr>
          <w:rFonts w:hint="eastAsia" w:ascii="宋体" w:hAnsi="宋体" w:eastAsia="宋体" w:cs="宋体"/>
          <w:spacing w:val="6"/>
          <w:kern w:val="2"/>
          <w:sz w:val="32"/>
          <w:szCs w:val="32"/>
          <w:lang w:val="en-US" w:eastAsia="zh" w:bidi="ar"/>
        </w:rPr>
        <w:t>.</w:t>
      </w:r>
      <w:r>
        <w:rPr>
          <w:rFonts w:hint="eastAsia" w:ascii="宋体" w:hAnsi="宋体" w:eastAsia="宋体" w:cs="宋体"/>
          <w:spacing w:val="6"/>
          <w:kern w:val="2"/>
          <w:sz w:val="32"/>
          <w:szCs w:val="32"/>
          <w:lang w:val="en-US" w:eastAsia="zh" w:bidi="ar"/>
          <w:woUserID w:val="4"/>
        </w:rPr>
        <w:t>4</w:t>
      </w:r>
      <w:r>
        <w:rPr>
          <w:rFonts w:hint="eastAsia" w:ascii="宋体" w:hAnsi="宋体" w:eastAsia="宋体" w:cs="宋体"/>
          <w:spacing w:val="6"/>
          <w:kern w:val="2"/>
          <w:sz w:val="32"/>
          <w:szCs w:val="32"/>
          <w:lang w:val="en-US" w:eastAsia="zh" w:bidi="ar"/>
        </w:rPr>
        <w:t>.</w:t>
      </w:r>
      <w:r>
        <w:rPr>
          <w:rFonts w:hint="eastAsia" w:ascii="宋体" w:hAnsi="宋体" w:eastAsia="宋体" w:cs="宋体"/>
          <w:spacing w:val="6"/>
          <w:kern w:val="2"/>
          <w:sz w:val="32"/>
          <w:szCs w:val="32"/>
          <w:lang w:val="en-US" w:eastAsia="zh" w:bidi="ar"/>
          <w:woUserID w:val="4"/>
        </w:rPr>
        <w:t>3</w:t>
      </w:r>
      <w:r>
        <w:rPr>
          <w:rFonts w:hint="eastAsia" w:ascii="宋体" w:hAnsi="宋体" w:eastAsia="宋体" w:cs="宋体"/>
          <w:spacing w:val="6"/>
          <w:kern w:val="2"/>
          <w:sz w:val="32"/>
          <w:szCs w:val="32"/>
          <w:lang w:val="en-US" w:eastAsia="zh" w:bidi="ar"/>
        </w:rPr>
        <w:t xml:space="preserve"> 设置柴油发电机组时，应满足噪声、排放</w:t>
      </w:r>
      <w:r>
        <w:rPr>
          <w:rFonts w:hint="eastAsia" w:ascii="宋体" w:hAnsi="宋体" w:eastAsia="宋体" w:cs="宋体"/>
          <w:spacing w:val="6"/>
          <w:kern w:val="2"/>
          <w:sz w:val="32"/>
          <w:szCs w:val="32"/>
          <w:lang w:bidi="ar"/>
        </w:rPr>
        <w:t>标准等环保要求。</w:t>
      </w:r>
    </w:p>
    <w:p w14:paraId="4BEA3884">
      <w:pPr>
        <w:pStyle w:val="8"/>
        <w:widowControl/>
        <w:kinsoku w:val="0"/>
        <w:autoSpaceDE w:val="0"/>
        <w:autoSpaceDN w:val="0"/>
        <w:adjustRightInd w:val="0"/>
        <w:snapToGrid w:val="0"/>
        <w:spacing w:beforeAutospacing="0" w:afterAutospacing="0" w:line="560" w:lineRule="exact"/>
        <w:ind w:right="81"/>
        <w:jc w:val="both"/>
        <w:textAlignment w:val="baseline"/>
        <w:rPr>
          <w:rStyle w:val="16"/>
          <w:rFonts w:hint="eastAsia" w:ascii="宋体" w:hAnsi="宋体" w:eastAsia="宋体" w:cs="宋体"/>
          <w:kern w:val="2"/>
        </w:rPr>
      </w:pP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eastAsia="zh" w:bidi="ar"/>
          <w:woUserID w:val="4"/>
        </w:rPr>
        <w:t>4</w:t>
      </w:r>
      <w:r>
        <w:rPr>
          <w:rFonts w:hint="eastAsia" w:ascii="宋体" w:hAnsi="宋体" w:eastAsia="宋体" w:cs="宋体"/>
          <w:spacing w:val="6"/>
          <w:kern w:val="2"/>
          <w:sz w:val="32"/>
          <w:szCs w:val="32"/>
          <w:lang w:eastAsia="zh" w:bidi="ar"/>
          <w:woUserID w:val="2"/>
        </w:rPr>
        <w:t>.</w:t>
      </w:r>
      <w:r>
        <w:rPr>
          <w:rFonts w:hint="eastAsia" w:ascii="宋体" w:hAnsi="宋体" w:eastAsia="宋体" w:cs="宋体"/>
          <w:spacing w:val="6"/>
          <w:kern w:val="2"/>
          <w:sz w:val="32"/>
          <w:szCs w:val="32"/>
          <w:lang w:eastAsia="zh" w:bidi="ar"/>
          <w:woUserID w:val="4"/>
        </w:rPr>
        <w:t>4</w:t>
      </w:r>
      <w:r>
        <w:rPr>
          <w:rFonts w:hint="eastAsia" w:ascii="宋体" w:hAnsi="宋体" w:eastAsia="宋体" w:cs="宋体"/>
          <w:spacing w:val="6"/>
          <w:kern w:val="2"/>
          <w:sz w:val="32"/>
          <w:szCs w:val="32"/>
          <w:lang w:bidi="ar"/>
        </w:rPr>
        <w:t xml:space="preserve"> </w:t>
      </w:r>
      <w:r>
        <w:rPr>
          <w:rFonts w:hint="eastAsia" w:ascii="宋体" w:hAnsi="宋体" w:eastAsia="宋体" w:cs="宋体"/>
          <w:spacing w:val="6"/>
          <w:kern w:val="2"/>
          <w:sz w:val="32"/>
          <w:szCs w:val="32"/>
          <w:lang w:eastAsia="zh" w:bidi="ar"/>
          <w:woUserID w:val="2"/>
        </w:rPr>
        <w:t>当设置</w:t>
      </w:r>
      <w:r>
        <w:rPr>
          <w:rFonts w:hint="eastAsia" w:ascii="宋体" w:hAnsi="宋体" w:eastAsia="宋体" w:cs="宋体"/>
          <w:spacing w:val="6"/>
          <w:kern w:val="2"/>
          <w:sz w:val="32"/>
          <w:szCs w:val="32"/>
          <w:lang w:bidi="ar"/>
          <w:woUserID w:val="2"/>
        </w:rPr>
        <w:t>家用不间断电源装置 (UPS)</w:t>
      </w:r>
      <w:r>
        <w:rPr>
          <w:rFonts w:hint="eastAsia" w:ascii="宋体" w:hAnsi="宋体" w:eastAsia="宋体" w:cs="宋体"/>
          <w:spacing w:val="6"/>
          <w:kern w:val="2"/>
          <w:sz w:val="32"/>
          <w:szCs w:val="32"/>
          <w:lang w:eastAsia="zh" w:bidi="ar"/>
          <w:woUserID w:val="2"/>
        </w:rPr>
        <w:t>时，</w:t>
      </w:r>
      <w:r>
        <w:rPr>
          <w:rFonts w:hint="eastAsia" w:ascii="宋体" w:hAnsi="宋体" w:eastAsia="宋体" w:cs="宋体"/>
          <w:spacing w:val="6"/>
          <w:kern w:val="2"/>
          <w:sz w:val="32"/>
          <w:szCs w:val="32"/>
          <w:lang w:bidi="ar"/>
        </w:rPr>
        <w:t>选择及安装要求</w:t>
      </w:r>
    </w:p>
    <w:p w14:paraId="27F595D7">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  UPS容量不宜超过5</w:t>
      </w:r>
      <w:r>
        <w:rPr>
          <w:rFonts w:hint="eastAsia" w:ascii="宋体" w:hAnsi="宋体" w:eastAsia="宋体" w:cs="宋体"/>
          <w:spacing w:val="6"/>
          <w:kern w:val="2"/>
          <w:sz w:val="32"/>
          <w:szCs w:val="32"/>
          <w:lang w:val="en-US" w:eastAsia="zh" w:bidi="ar"/>
          <w:woUserID w:val="2"/>
        </w:rPr>
        <w:t>k</w:t>
      </w:r>
      <w:r>
        <w:rPr>
          <w:rFonts w:hint="eastAsia" w:ascii="宋体" w:hAnsi="宋体" w:eastAsia="宋体" w:cs="宋体"/>
          <w:spacing w:val="6"/>
          <w:kern w:val="2"/>
          <w:sz w:val="32"/>
          <w:szCs w:val="32"/>
          <w:lang w:val="en-US" w:eastAsia="zh-CN" w:bidi="ar"/>
        </w:rPr>
        <w:t>VA。如</w:t>
      </w:r>
      <w:r>
        <w:rPr>
          <w:rFonts w:hint="eastAsia" w:ascii="宋体" w:hAnsi="宋体" w:eastAsia="宋体" w:cs="宋体"/>
          <w:spacing w:val="6"/>
          <w:kern w:val="2"/>
          <w:sz w:val="32"/>
          <w:szCs w:val="32"/>
          <w:lang w:bidi="ar"/>
        </w:rPr>
        <w:t>超出入户线路承载能力，需申请增容</w:t>
      </w:r>
      <w:r>
        <w:rPr>
          <w:rFonts w:hint="eastAsia" w:ascii="宋体" w:hAnsi="宋体" w:eastAsia="宋体" w:cs="宋体"/>
          <w:spacing w:val="6"/>
          <w:kern w:val="2"/>
          <w:sz w:val="32"/>
          <w:szCs w:val="32"/>
          <w:lang w:eastAsia="zh-CN" w:bidi="ar"/>
        </w:rPr>
        <w:t>。</w:t>
      </w:r>
    </w:p>
    <w:p w14:paraId="0B372D5B">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val="en-US" w:eastAsia="zh-CN" w:bidi="ar"/>
        </w:rPr>
        <w:t>2</w:t>
      </w:r>
      <w:r>
        <w:rPr>
          <w:rFonts w:hint="eastAsia" w:ascii="宋体" w:hAnsi="宋体" w:eastAsia="宋体" w:cs="宋体"/>
          <w:spacing w:val="6"/>
          <w:kern w:val="2"/>
          <w:sz w:val="32"/>
          <w:szCs w:val="32"/>
          <w:lang w:bidi="ar"/>
        </w:rPr>
        <w:t xml:space="preserve">  UPS的选择和安装需预防电气火灾，避免设备过载，确保设备通风散热。</w:t>
      </w:r>
    </w:p>
    <w:p w14:paraId="27D2AF56">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val="en-US" w:eastAsia="zh-CN" w:bidi="ar"/>
        </w:rPr>
        <w:t>3</w:t>
      </w:r>
      <w:r>
        <w:rPr>
          <w:rFonts w:hint="eastAsia" w:ascii="宋体" w:hAnsi="宋体" w:eastAsia="宋体" w:cs="宋体"/>
          <w:spacing w:val="6"/>
          <w:kern w:val="2"/>
          <w:sz w:val="32"/>
          <w:szCs w:val="32"/>
          <w:lang w:bidi="ar"/>
        </w:rPr>
        <w:t xml:space="preserve">  宜具有热稳定性高、循环寿命长，不易起火爆炸的电池。</w:t>
      </w:r>
    </w:p>
    <w:p w14:paraId="6B99C468">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val="en-US" w:eastAsia="zh-CN" w:bidi="ar"/>
        </w:rPr>
        <w:t>4</w:t>
      </w:r>
      <w:r>
        <w:rPr>
          <w:rFonts w:hint="eastAsia" w:ascii="宋体" w:hAnsi="宋体" w:eastAsia="宋体" w:cs="宋体"/>
          <w:spacing w:val="6"/>
          <w:kern w:val="2"/>
          <w:sz w:val="32"/>
          <w:szCs w:val="32"/>
          <w:lang w:bidi="ar"/>
        </w:rPr>
        <w:t xml:space="preserve">  预留足够的散热空间，周围不堆放杂物。</w:t>
      </w:r>
      <w:r>
        <w:rPr>
          <w:rFonts w:hint="eastAsia" w:ascii="宋体" w:hAnsi="宋体" w:eastAsia="宋体" w:cs="宋体"/>
          <w:spacing w:val="6"/>
          <w:kern w:val="2"/>
          <w:sz w:val="32"/>
          <w:szCs w:val="32"/>
          <w:lang w:val="en-US" w:eastAsia="zh-CN" w:bidi="ar"/>
        </w:rPr>
        <w:t>如</w:t>
      </w:r>
      <w:r>
        <w:rPr>
          <w:rFonts w:hint="eastAsia" w:ascii="宋体" w:hAnsi="宋体" w:eastAsia="宋体" w:cs="宋体"/>
          <w:spacing w:val="6"/>
          <w:kern w:val="2"/>
          <w:sz w:val="32"/>
          <w:szCs w:val="32"/>
          <w:lang w:eastAsia="zh-CN" w:bidi="ar"/>
        </w:rPr>
        <w:t>需长时间</w:t>
      </w:r>
      <w:r>
        <w:rPr>
          <w:rFonts w:hint="eastAsia" w:ascii="宋体" w:hAnsi="宋体" w:eastAsia="宋体" w:cs="宋体"/>
          <w:spacing w:val="6"/>
          <w:kern w:val="2"/>
          <w:sz w:val="32"/>
          <w:szCs w:val="32"/>
          <w:lang w:val="en-US" w:eastAsia="zh-CN" w:bidi="ar"/>
        </w:rPr>
        <w:t>使用UPS</w:t>
      </w:r>
      <w:r>
        <w:rPr>
          <w:rFonts w:hint="eastAsia" w:ascii="宋体" w:hAnsi="宋体" w:eastAsia="宋体" w:cs="宋体"/>
          <w:spacing w:val="6"/>
          <w:kern w:val="2"/>
          <w:sz w:val="32"/>
          <w:szCs w:val="32"/>
          <w:lang w:eastAsia="zh-CN" w:bidi="ar"/>
        </w:rPr>
        <w:t>（如医疗设备），需评估电池组体积、重量及散热需求，</w:t>
      </w:r>
      <w:r>
        <w:rPr>
          <w:rFonts w:hint="eastAsia" w:ascii="宋体" w:hAnsi="宋体" w:eastAsia="宋体" w:cs="宋体"/>
          <w:spacing w:val="6"/>
          <w:kern w:val="2"/>
          <w:sz w:val="32"/>
          <w:szCs w:val="32"/>
          <w:lang w:val="en-US" w:eastAsia="zh-CN" w:bidi="ar"/>
        </w:rPr>
        <w:t>设置</w:t>
      </w:r>
      <w:r>
        <w:rPr>
          <w:rFonts w:hint="eastAsia" w:ascii="宋体" w:hAnsi="宋体" w:eastAsia="宋体" w:cs="宋体"/>
          <w:spacing w:val="6"/>
          <w:kern w:val="2"/>
          <w:sz w:val="32"/>
          <w:szCs w:val="32"/>
          <w:lang w:eastAsia="zh-CN" w:bidi="ar"/>
        </w:rPr>
        <w:t>单独</w:t>
      </w:r>
      <w:r>
        <w:rPr>
          <w:rFonts w:hint="eastAsia" w:ascii="宋体" w:hAnsi="宋体" w:eastAsia="宋体" w:cs="宋体"/>
          <w:spacing w:val="6"/>
          <w:kern w:val="2"/>
          <w:sz w:val="32"/>
          <w:szCs w:val="32"/>
          <w:lang w:val="en-US" w:eastAsia="zh-CN" w:bidi="ar"/>
        </w:rPr>
        <w:t>电池</w:t>
      </w:r>
      <w:r>
        <w:rPr>
          <w:rFonts w:hint="eastAsia" w:ascii="宋体" w:hAnsi="宋体" w:eastAsia="宋体" w:cs="宋体"/>
          <w:spacing w:val="6"/>
          <w:kern w:val="2"/>
          <w:sz w:val="32"/>
          <w:szCs w:val="32"/>
          <w:lang w:eastAsia="zh-CN" w:bidi="ar"/>
        </w:rPr>
        <w:t>间。</w:t>
      </w:r>
    </w:p>
    <w:p w14:paraId="7AA4B613">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val="en-US" w:eastAsia="zh-CN" w:bidi="ar"/>
          <w:woUserID w:val="2"/>
        </w:rPr>
        <w:t>5</w:t>
      </w:r>
      <w:r>
        <w:rPr>
          <w:rFonts w:hint="eastAsia" w:ascii="宋体" w:hAnsi="宋体" w:eastAsia="宋体" w:cs="宋体"/>
          <w:spacing w:val="6"/>
          <w:kern w:val="2"/>
          <w:sz w:val="32"/>
          <w:szCs w:val="32"/>
          <w:lang w:bidi="ar"/>
        </w:rPr>
        <w:t xml:space="preserve">  UPS输入和输出回路需设置独立的、容量匹配的短路保护和过负荷保护电器（即空气开关和熔断器）。不应直接将UPS接入插座或未经保护的线路。</w:t>
      </w:r>
    </w:p>
    <w:p w14:paraId="042DF997">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val="en-US" w:eastAsia="zh-CN" w:bidi="ar"/>
          <w:woUserID w:val="2"/>
        </w:rPr>
        <w:t>6</w:t>
      </w:r>
      <w:r>
        <w:rPr>
          <w:rFonts w:hint="eastAsia" w:ascii="宋体" w:hAnsi="宋体" w:eastAsia="宋体" w:cs="宋体"/>
          <w:spacing w:val="6"/>
          <w:kern w:val="2"/>
          <w:sz w:val="32"/>
          <w:szCs w:val="32"/>
          <w:lang w:bidi="ar"/>
        </w:rPr>
        <w:t xml:space="preserve">  需采用可靠的保护接地措施。UPS外壳、蓄电池以及所有负载设备的外露可导电部分都需可靠接地，接地电阻需符合《电气装置安装工程接地装置施工及验收规范》GB 50169规范要求。</w:t>
      </w:r>
    </w:p>
    <w:p w14:paraId="58E554AF">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woUserID w:val="2"/>
        </w:rPr>
        <w:t>7</w:t>
      </w:r>
      <w:r>
        <w:rPr>
          <w:rFonts w:hint="eastAsia" w:ascii="宋体" w:hAnsi="宋体" w:eastAsia="宋体" w:cs="宋体"/>
          <w:spacing w:val="6"/>
          <w:kern w:val="2"/>
          <w:sz w:val="32"/>
          <w:szCs w:val="32"/>
          <w:lang w:val="en-US" w:eastAsia="zh-CN" w:bidi="ar"/>
        </w:rPr>
        <w:t xml:space="preserve"> 从UPS接地端子，单独敷设一回接地线至入户配电箱的PE母排。</w:t>
      </w:r>
    </w:p>
    <w:p w14:paraId="08B9C246">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highlight w:val="none"/>
          <w:lang w:bidi="ar"/>
        </w:rPr>
      </w:pPr>
      <w:r>
        <w:rPr>
          <w:rFonts w:hint="eastAsia" w:ascii="宋体" w:hAnsi="宋体" w:eastAsia="宋体" w:cs="宋体"/>
          <w:spacing w:val="6"/>
          <w:kern w:val="2"/>
          <w:sz w:val="32"/>
          <w:szCs w:val="32"/>
          <w:highlight w:val="none"/>
          <w:lang w:val="en-US" w:eastAsia="zh-CN" w:bidi="ar"/>
          <w:woUserID w:val="2"/>
        </w:rPr>
        <w:t>8</w:t>
      </w:r>
      <w:r>
        <w:rPr>
          <w:rFonts w:hint="eastAsia" w:ascii="宋体" w:hAnsi="宋体" w:eastAsia="宋体" w:cs="宋体"/>
          <w:spacing w:val="6"/>
          <w:kern w:val="2"/>
          <w:sz w:val="32"/>
          <w:szCs w:val="32"/>
          <w:highlight w:val="none"/>
          <w:lang w:eastAsia="zh" w:bidi="ar"/>
          <w:woUserID w:val="2"/>
        </w:rPr>
        <w:t xml:space="preserve"> </w:t>
      </w:r>
      <w:r>
        <w:rPr>
          <w:rFonts w:hint="eastAsia" w:ascii="宋体" w:hAnsi="宋体" w:eastAsia="宋体" w:cs="宋体"/>
          <w:spacing w:val="6"/>
          <w:kern w:val="2"/>
          <w:sz w:val="32"/>
          <w:szCs w:val="32"/>
          <w:highlight w:val="none"/>
          <w:lang w:bidi="ar"/>
        </w:rPr>
        <w:t>供电线路的敷设应使用阻燃型电缆，并穿金属管或阻燃管进行保护。不应在公共走廊、楼梯间、电井内安装设备或敷设明线。</w:t>
      </w:r>
    </w:p>
    <w:p w14:paraId="26F0544F">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highlight w:val="none"/>
          <w:lang w:bidi="ar"/>
        </w:rPr>
      </w:pPr>
      <w:r>
        <w:rPr>
          <w:rFonts w:hint="eastAsia" w:ascii="宋体" w:hAnsi="宋体" w:eastAsia="宋体" w:cs="宋体"/>
          <w:spacing w:val="6"/>
          <w:kern w:val="2"/>
          <w:sz w:val="32"/>
          <w:szCs w:val="32"/>
          <w:highlight w:val="none"/>
          <w:lang w:val="en-US" w:eastAsia="zh-CN" w:bidi="ar"/>
          <w:woUserID w:val="2"/>
        </w:rPr>
        <w:t>9</w:t>
      </w:r>
      <w:r>
        <w:rPr>
          <w:rFonts w:hint="eastAsia" w:ascii="宋体" w:hAnsi="宋体" w:eastAsia="宋体" w:cs="宋体"/>
          <w:spacing w:val="6"/>
          <w:kern w:val="2"/>
          <w:sz w:val="32"/>
          <w:szCs w:val="32"/>
          <w:highlight w:val="none"/>
          <w:lang w:bidi="ar"/>
        </w:rPr>
        <w:t> 安装UPS的房间或区域，应配备烟雾报警器、手提式灭火器。灭火器选用干粉或二氧化碳灭火器，不应用水或泡沫灭火器扑救。</w:t>
      </w:r>
    </w:p>
    <w:p w14:paraId="3475DA03">
      <w:pPr>
        <w:pStyle w:val="8"/>
        <w:widowControl/>
        <w:kinsoku w:val="0"/>
        <w:autoSpaceDE w:val="0"/>
        <w:autoSpaceDN w:val="0"/>
        <w:adjustRightInd w:val="0"/>
        <w:snapToGrid w:val="0"/>
        <w:spacing w:beforeAutospacing="0" w:afterAutospacing="0" w:line="560" w:lineRule="exact"/>
        <w:ind w:right="81" w:firstLine="664" w:firstLineChars="200"/>
        <w:jc w:val="both"/>
        <w:textAlignment w:val="baseline"/>
        <w:rPr>
          <w:rFonts w:hint="eastAsia" w:ascii="宋体" w:hAnsi="宋体" w:eastAsia="宋体" w:cs="宋体"/>
          <w:spacing w:val="6"/>
          <w:kern w:val="2"/>
          <w:sz w:val="32"/>
          <w:szCs w:val="32"/>
          <w:highlight w:val="none"/>
          <w:lang w:bidi="ar"/>
        </w:rPr>
      </w:pPr>
      <w:r>
        <w:rPr>
          <w:rFonts w:hint="eastAsia" w:ascii="宋体" w:hAnsi="宋体" w:eastAsia="宋体" w:cs="宋体"/>
          <w:spacing w:val="6"/>
          <w:kern w:val="2"/>
          <w:sz w:val="32"/>
          <w:szCs w:val="32"/>
          <w:highlight w:val="none"/>
          <w:lang w:val="en-US" w:eastAsia="zh-CN" w:bidi="ar"/>
          <w:woUserID w:val="2"/>
        </w:rPr>
        <w:t>10</w:t>
      </w:r>
      <w:r>
        <w:rPr>
          <w:rFonts w:hint="eastAsia" w:ascii="宋体" w:hAnsi="宋体" w:eastAsia="宋体" w:cs="宋体"/>
          <w:spacing w:val="6"/>
          <w:kern w:val="2"/>
          <w:sz w:val="32"/>
          <w:szCs w:val="32"/>
          <w:highlight w:val="none"/>
          <w:lang w:bidi="ar"/>
        </w:rPr>
        <w:t> UPS安装环境应清洁、干燥、通风良好。不应安装在浴室、厨房等潮湿、有腐蚀性气体的场所，以及阳光直射或靠近热源的地方。</w:t>
      </w:r>
    </w:p>
    <w:p w14:paraId="7121CC6A">
      <w:pPr>
        <w:pStyle w:val="8"/>
        <w:widowControl/>
        <w:spacing w:beforeAutospacing="0" w:afterAutospacing="0" w:line="560" w:lineRule="exact"/>
        <w:jc w:val="both"/>
        <w:outlineLvl w:val="9"/>
        <w:rPr>
          <w:rFonts w:hint="eastAsia" w:ascii="仿宋" w:hAnsi="仿宋" w:eastAsia="仿宋" w:cs="仿宋"/>
          <w:spacing w:val="6"/>
          <w:kern w:val="2"/>
          <w:sz w:val="32"/>
          <w:szCs w:val="32"/>
          <w:lang w:eastAsia="zh" w:bidi="ar"/>
        </w:rPr>
      </w:pPr>
    </w:p>
    <w:p w14:paraId="6686C458">
      <w:pPr>
        <w:pStyle w:val="8"/>
        <w:widowControl/>
        <w:spacing w:beforeAutospacing="0" w:afterAutospacing="0" w:line="560" w:lineRule="exact"/>
        <w:jc w:val="both"/>
        <w:outlineLvl w:val="9"/>
        <w:rPr>
          <w:rFonts w:hint="eastAsia" w:ascii="仿宋" w:hAnsi="仿宋" w:eastAsia="仿宋" w:cs="仿宋"/>
          <w:spacing w:val="6"/>
          <w:kern w:val="2"/>
          <w:sz w:val="32"/>
          <w:szCs w:val="32"/>
          <w:lang w:eastAsia="zh" w:bidi="ar"/>
        </w:rPr>
      </w:pPr>
    </w:p>
    <w:p w14:paraId="1E1B115E">
      <w:pPr>
        <w:pStyle w:val="8"/>
        <w:widowControl/>
        <w:spacing w:beforeAutospacing="0" w:afterAutospacing="0" w:line="560" w:lineRule="exact"/>
        <w:jc w:val="both"/>
        <w:outlineLvl w:val="9"/>
        <w:rPr>
          <w:rFonts w:hint="eastAsia" w:ascii="仿宋" w:hAnsi="仿宋" w:eastAsia="仿宋" w:cs="仿宋"/>
          <w:spacing w:val="6"/>
          <w:kern w:val="2"/>
          <w:sz w:val="32"/>
          <w:szCs w:val="32"/>
          <w:lang w:eastAsia="zh" w:bidi="ar"/>
        </w:rPr>
      </w:pPr>
    </w:p>
    <w:p w14:paraId="4A57A0CD">
      <w:pPr>
        <w:pStyle w:val="8"/>
        <w:widowControl/>
        <w:spacing w:beforeAutospacing="0" w:afterAutospacing="0" w:line="560" w:lineRule="exact"/>
        <w:jc w:val="both"/>
        <w:outlineLvl w:val="9"/>
        <w:rPr>
          <w:rFonts w:hint="eastAsia" w:ascii="仿宋" w:hAnsi="仿宋" w:eastAsia="仿宋" w:cs="仿宋"/>
          <w:spacing w:val="6"/>
          <w:kern w:val="2"/>
          <w:sz w:val="32"/>
          <w:szCs w:val="32"/>
          <w:lang w:eastAsia="zh" w:bidi="ar"/>
        </w:rPr>
      </w:pPr>
    </w:p>
    <w:p w14:paraId="6EC42D4C">
      <w:pPr>
        <w:pStyle w:val="8"/>
        <w:widowControl/>
        <w:spacing w:beforeAutospacing="0" w:afterAutospacing="0" w:line="560" w:lineRule="exact"/>
        <w:jc w:val="both"/>
        <w:outlineLvl w:val="9"/>
        <w:rPr>
          <w:rFonts w:hint="eastAsia" w:ascii="仿宋" w:hAnsi="仿宋" w:eastAsia="仿宋" w:cs="仿宋"/>
          <w:spacing w:val="6"/>
          <w:kern w:val="2"/>
          <w:sz w:val="32"/>
          <w:szCs w:val="32"/>
          <w:lang w:eastAsia="zh" w:bidi="ar"/>
        </w:rPr>
      </w:pPr>
    </w:p>
    <w:p w14:paraId="154CFE78">
      <w:pPr>
        <w:pStyle w:val="8"/>
        <w:widowControl/>
        <w:spacing w:beforeAutospacing="0" w:afterAutospacing="0" w:line="560" w:lineRule="exact"/>
        <w:jc w:val="both"/>
        <w:outlineLvl w:val="9"/>
        <w:rPr>
          <w:rFonts w:hint="eastAsia" w:ascii="仿宋" w:hAnsi="仿宋" w:eastAsia="仿宋" w:cs="仿宋"/>
          <w:spacing w:val="6"/>
          <w:kern w:val="2"/>
          <w:sz w:val="32"/>
          <w:szCs w:val="32"/>
          <w:lang w:eastAsia="zh" w:bidi="ar"/>
        </w:rPr>
      </w:pPr>
    </w:p>
    <w:p w14:paraId="678D2049">
      <w:pPr>
        <w:rPr>
          <w:rFonts w:hint="eastAsia" w:ascii="宋体" w:hAnsi="宋体" w:eastAsia="宋体" w:cs="宋体"/>
          <w:b/>
          <w:bCs/>
          <w:color w:val="000000"/>
          <w:spacing w:val="-6"/>
          <w:kern w:val="0"/>
          <w:sz w:val="32"/>
          <w:szCs w:val="32"/>
          <w:lang w:val="en-US" w:eastAsia="zh-CN" w:bidi="ar"/>
        </w:rPr>
      </w:pPr>
      <w:bookmarkStart w:id="4" w:name="_Toc18257"/>
      <w:r>
        <w:rPr>
          <w:rFonts w:hint="eastAsia" w:ascii="宋体" w:hAnsi="宋体" w:eastAsia="宋体" w:cs="宋体"/>
          <w:b/>
          <w:bCs/>
          <w:color w:val="000000"/>
          <w:spacing w:val="-6"/>
          <w:kern w:val="0"/>
          <w:sz w:val="32"/>
          <w:szCs w:val="32"/>
          <w:lang w:val="en-US" w:eastAsia="zh-CN" w:bidi="ar"/>
        </w:rPr>
        <w:br w:type="page"/>
      </w:r>
    </w:p>
    <w:p w14:paraId="4963B9C6">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eastAsia="zh" w:bidi="ar"/>
        </w:rPr>
      </w:pPr>
      <w:r>
        <w:rPr>
          <w:rFonts w:hint="eastAsia" w:ascii="宋体" w:hAnsi="宋体" w:eastAsia="宋体" w:cs="宋体"/>
          <w:b/>
          <w:bCs/>
          <w:color w:val="000000"/>
          <w:spacing w:val="-6"/>
          <w:kern w:val="0"/>
          <w:sz w:val="32"/>
          <w:szCs w:val="32"/>
          <w:lang w:val="en-US" w:eastAsia="zh-CN" w:bidi="ar"/>
        </w:rPr>
        <w:t>5</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eastAsia="zh" w:bidi="ar"/>
        </w:rPr>
        <w:t>变电所</w:t>
      </w:r>
      <w:bookmarkEnd w:id="4"/>
    </w:p>
    <w:p w14:paraId="3ABD286B">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eastAsia="zh" w:bidi="ar"/>
          <w:woUserID w:val="2"/>
        </w:rPr>
        <w:t>5</w:t>
      </w:r>
      <w:r>
        <w:rPr>
          <w:rFonts w:hint="eastAsia" w:ascii="宋体" w:hAnsi="宋体" w:eastAsia="宋体" w:cs="宋体"/>
          <w:b/>
          <w:bCs/>
          <w:color w:val="000000"/>
          <w:spacing w:val="-6"/>
          <w:kern w:val="0"/>
          <w:sz w:val="32"/>
          <w:szCs w:val="32"/>
          <w:lang w:bidi="ar"/>
        </w:rPr>
        <w:t>.1 一般规定</w:t>
      </w:r>
    </w:p>
    <w:p w14:paraId="18D15715">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.1.1 本章可适用于交流电压为10kV及以下的</w:t>
      </w:r>
      <w:r>
        <w:rPr>
          <w:rFonts w:hint="eastAsia" w:ascii="宋体" w:hAnsi="宋体" w:eastAsia="宋体" w:cs="宋体"/>
          <w:spacing w:val="6"/>
          <w:kern w:val="2"/>
          <w:sz w:val="32"/>
          <w:szCs w:val="32"/>
          <w:lang w:eastAsia="zh" w:bidi="ar"/>
        </w:rPr>
        <w:t>变电所</w:t>
      </w:r>
      <w:r>
        <w:rPr>
          <w:rFonts w:hint="eastAsia" w:ascii="宋体" w:hAnsi="宋体" w:eastAsia="宋体" w:cs="宋体"/>
          <w:spacing w:val="6"/>
          <w:kern w:val="2"/>
          <w:sz w:val="32"/>
          <w:szCs w:val="32"/>
          <w:lang w:bidi="ar"/>
        </w:rPr>
        <w:t>设计。</w:t>
      </w:r>
    </w:p>
    <w:p w14:paraId="7A417008">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 xml:space="preserve">.1.2 </w:t>
      </w:r>
      <w:r>
        <w:rPr>
          <w:rFonts w:hint="eastAsia" w:ascii="宋体" w:hAnsi="宋体" w:eastAsia="宋体" w:cs="宋体"/>
          <w:spacing w:val="6"/>
          <w:kern w:val="2"/>
          <w:sz w:val="32"/>
          <w:szCs w:val="32"/>
          <w:lang w:eastAsia="zh" w:bidi="ar"/>
        </w:rPr>
        <w:t>变电所</w:t>
      </w:r>
      <w:r>
        <w:rPr>
          <w:rFonts w:hint="eastAsia" w:ascii="宋体" w:hAnsi="宋体" w:eastAsia="宋体" w:cs="宋体"/>
          <w:spacing w:val="6"/>
          <w:kern w:val="2"/>
          <w:sz w:val="32"/>
          <w:szCs w:val="32"/>
          <w:lang w:bidi="ar"/>
        </w:rPr>
        <w:t>设计应根据工程特点、负荷性质、用电容量、供电条件、节约电能、安装、运行维护要求等因素，合理确定设计方案，并适当考虑发展的可能性。</w:t>
      </w:r>
    </w:p>
    <w:p w14:paraId="75D126DD">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 xml:space="preserve">.1.3 </w:t>
      </w:r>
      <w:r>
        <w:rPr>
          <w:rFonts w:hint="eastAsia" w:ascii="宋体" w:hAnsi="宋体" w:eastAsia="宋体" w:cs="宋体"/>
          <w:spacing w:val="6"/>
          <w:kern w:val="2"/>
          <w:sz w:val="32"/>
          <w:szCs w:val="32"/>
          <w:lang w:eastAsia="zh" w:bidi="ar"/>
        </w:rPr>
        <w:t>变电所</w:t>
      </w:r>
      <w:r>
        <w:rPr>
          <w:rFonts w:hint="eastAsia" w:ascii="宋体" w:hAnsi="宋体" w:eastAsia="宋体" w:cs="宋体"/>
          <w:spacing w:val="6"/>
          <w:kern w:val="2"/>
          <w:sz w:val="32"/>
          <w:szCs w:val="32"/>
          <w:lang w:bidi="ar"/>
        </w:rPr>
        <w:t>设计和电气设备的安装应采取抗震措施，并应符合现行国家标准《电力设施抗震设计规范》GB 50260的规定。</w:t>
      </w:r>
    </w:p>
    <w:p w14:paraId="00530CE8">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rPr>
      </w:pPr>
      <w:r>
        <w:rPr>
          <w:rFonts w:hint="eastAsia" w:ascii="宋体" w:hAnsi="宋体" w:eastAsia="宋体" w:cs="宋体"/>
          <w:b/>
          <w:bCs/>
          <w:color w:val="000000"/>
          <w:spacing w:val="-6"/>
          <w:kern w:val="0"/>
          <w:sz w:val="32"/>
          <w:szCs w:val="32"/>
          <w:lang w:eastAsia="zh" w:bidi="ar"/>
          <w:woUserID w:val="2"/>
        </w:rPr>
        <w:t>5</w:t>
      </w:r>
      <w:r>
        <w:rPr>
          <w:rFonts w:hint="eastAsia" w:ascii="宋体" w:hAnsi="宋体" w:eastAsia="宋体" w:cs="宋体"/>
          <w:b/>
          <w:bCs/>
          <w:color w:val="000000"/>
          <w:spacing w:val="-6"/>
          <w:kern w:val="0"/>
          <w:sz w:val="32"/>
          <w:szCs w:val="32"/>
          <w:lang w:bidi="ar"/>
        </w:rPr>
        <w:t>.</w:t>
      </w:r>
      <w:r>
        <w:rPr>
          <w:rFonts w:hint="eastAsia" w:ascii="宋体" w:hAnsi="宋体" w:eastAsia="宋体" w:cs="宋体"/>
          <w:b/>
          <w:bCs/>
          <w:color w:val="000000"/>
          <w:spacing w:val="-6"/>
          <w:kern w:val="0"/>
          <w:sz w:val="32"/>
          <w:szCs w:val="32"/>
          <w:lang w:eastAsia="zh" w:bidi="ar"/>
        </w:rPr>
        <w:t>2</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eastAsia="zh" w:bidi="ar"/>
        </w:rPr>
        <w:t>变电所选址</w:t>
      </w:r>
    </w:p>
    <w:p w14:paraId="2F1B354A">
      <w:pPr>
        <w:pStyle w:val="8"/>
        <w:widowControl/>
        <w:spacing w:beforeAutospacing="0" w:afterAutospacing="0" w:line="560" w:lineRule="exact"/>
        <w:jc w:val="both"/>
        <w:rPr>
          <w:rFonts w:hint="eastAsia" w:ascii="宋体" w:hAnsi="宋体" w:eastAsia="宋体" w:cs="宋体"/>
          <w:spacing w:val="6"/>
          <w:kern w:val="2"/>
          <w:sz w:val="32"/>
          <w:szCs w:val="32"/>
          <w:lang w:eastAsia="zh-CN"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 xml:space="preserve">.2.1 </w:t>
      </w:r>
      <w:r>
        <w:rPr>
          <w:rFonts w:hint="eastAsia" w:ascii="宋体" w:hAnsi="宋体" w:eastAsia="宋体" w:cs="宋体"/>
          <w:spacing w:val="6"/>
          <w:kern w:val="2"/>
          <w:sz w:val="32"/>
          <w:szCs w:val="32"/>
          <w:lang w:val="en-US" w:eastAsia="zh-CN" w:bidi="ar"/>
        </w:rPr>
        <w:t>变电所</w:t>
      </w:r>
      <w:r>
        <w:rPr>
          <w:rFonts w:hint="eastAsia" w:ascii="宋体" w:hAnsi="宋体" w:eastAsia="宋体" w:cs="宋体"/>
          <w:spacing w:val="6"/>
          <w:kern w:val="2"/>
          <w:sz w:val="32"/>
          <w:szCs w:val="32"/>
          <w:lang w:bidi="ar"/>
        </w:rPr>
        <w:t>应设置在地面一层及以上，不应设在地势</w:t>
      </w:r>
      <w:r>
        <w:rPr>
          <w:rFonts w:hint="eastAsia" w:ascii="宋体" w:hAnsi="宋体" w:eastAsia="宋体" w:cs="宋体"/>
          <w:spacing w:val="6"/>
          <w:kern w:val="2"/>
          <w:sz w:val="32"/>
          <w:szCs w:val="32"/>
          <w:lang w:eastAsia="zh" w:bidi="ar"/>
          <w:woUserID w:val="4"/>
        </w:rPr>
        <w:t>低洼</w:t>
      </w:r>
      <w:r>
        <w:rPr>
          <w:rFonts w:hint="eastAsia" w:ascii="宋体" w:hAnsi="宋体" w:eastAsia="宋体" w:cs="宋体"/>
          <w:spacing w:val="6"/>
          <w:kern w:val="2"/>
          <w:sz w:val="32"/>
          <w:szCs w:val="32"/>
          <w:lang w:bidi="ar"/>
        </w:rPr>
        <w:t>和可能积水的场所。开关站、环网室的地面标高应高于室外地面0.3m及以上，并高于50年一遇洪水水位和历史最高内涝防治水位</w:t>
      </w:r>
      <w:r>
        <w:rPr>
          <w:rFonts w:hint="eastAsia" w:ascii="宋体" w:hAnsi="宋体" w:eastAsia="宋体" w:cs="宋体"/>
          <w:spacing w:val="6"/>
          <w:kern w:val="2"/>
          <w:sz w:val="32"/>
          <w:szCs w:val="32"/>
          <w:lang w:eastAsia="zh-CN" w:bidi="ar"/>
        </w:rPr>
        <w:t>。</w:t>
      </w:r>
    </w:p>
    <w:p w14:paraId="6317ECD1">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.2.2 地面变电所内地面标高，宜高出室外地面0.6m，户外电缆沟壁，宜高出地面0.1m。</w:t>
      </w:r>
    </w:p>
    <w:p w14:paraId="25CCD06F">
      <w:pPr>
        <w:pStyle w:val="8"/>
        <w:widowControl/>
        <w:spacing w:beforeAutospacing="0" w:afterAutospacing="0" w:line="560" w:lineRule="exact"/>
        <w:jc w:val="both"/>
        <w:rPr>
          <w:rFonts w:hint="eastAsia" w:ascii="宋体" w:hAnsi="宋体" w:eastAsia="宋体" w:cs="宋体"/>
          <w:spacing w:val="6"/>
          <w:kern w:val="2"/>
          <w:sz w:val="32"/>
          <w:szCs w:val="32"/>
          <w:highlight w:val="yellow"/>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.2.</w:t>
      </w:r>
      <w:r>
        <w:rPr>
          <w:rFonts w:hint="eastAsia" w:ascii="宋体" w:hAnsi="宋体" w:eastAsia="宋体" w:cs="宋体"/>
          <w:spacing w:val="6"/>
          <w:kern w:val="2"/>
          <w:sz w:val="32"/>
          <w:szCs w:val="32"/>
          <w:lang w:val="en-US" w:eastAsia="zh-CN" w:bidi="ar"/>
        </w:rPr>
        <w:t>3</w:t>
      </w:r>
      <w:r>
        <w:rPr>
          <w:rFonts w:hint="eastAsia" w:ascii="宋体" w:hAnsi="宋体" w:eastAsia="宋体" w:cs="宋体"/>
          <w:spacing w:val="6"/>
          <w:kern w:val="2"/>
          <w:sz w:val="32"/>
          <w:szCs w:val="32"/>
          <w:lang w:bidi="ar"/>
        </w:rPr>
        <w:t xml:space="preserve"> 预装式变电站设备底部宜高出地面0.6m。</w:t>
      </w:r>
    </w:p>
    <w:p w14:paraId="7A16931B">
      <w:pPr>
        <w:pStyle w:val="8"/>
        <w:widowControl/>
        <w:spacing w:beforeAutospacing="0" w:afterAutospacing="0" w:line="560" w:lineRule="exact"/>
        <w:jc w:val="both"/>
        <w:rPr>
          <w:rFonts w:ascii="仿宋" w:hAnsi="仿宋" w:eastAsia="仿宋" w:cs="仿宋"/>
          <w:spacing w:val="6"/>
          <w:kern w:val="2"/>
          <w:sz w:val="32"/>
          <w:szCs w:val="32"/>
          <w:highlight w:val="yellow"/>
          <w:lang w:eastAsia="zh" w:bidi="ar"/>
        </w:rPr>
      </w:pPr>
    </w:p>
    <w:p w14:paraId="778B4CAD">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rPr>
      </w:pPr>
      <w:r>
        <w:rPr>
          <w:rFonts w:hint="eastAsia" w:ascii="宋体" w:hAnsi="宋体" w:eastAsia="宋体" w:cs="宋体"/>
          <w:b/>
          <w:bCs/>
          <w:color w:val="000000"/>
          <w:spacing w:val="-6"/>
          <w:kern w:val="0"/>
          <w:sz w:val="32"/>
          <w:szCs w:val="32"/>
          <w:lang w:eastAsia="zh" w:bidi="ar"/>
          <w:woUserID w:val="2"/>
        </w:rPr>
        <w:t>5</w:t>
      </w:r>
      <w:r>
        <w:rPr>
          <w:rFonts w:hint="eastAsia" w:ascii="宋体" w:hAnsi="宋体" w:eastAsia="宋体" w:cs="宋体"/>
          <w:b/>
          <w:bCs/>
          <w:color w:val="000000"/>
          <w:spacing w:val="-6"/>
          <w:kern w:val="0"/>
          <w:sz w:val="32"/>
          <w:szCs w:val="32"/>
          <w:lang w:bidi="ar"/>
        </w:rPr>
        <w:t>.</w:t>
      </w:r>
      <w:r>
        <w:rPr>
          <w:rFonts w:hint="eastAsia" w:ascii="宋体" w:hAnsi="宋体" w:eastAsia="宋体" w:cs="宋体"/>
          <w:b/>
          <w:bCs/>
          <w:color w:val="000000"/>
          <w:spacing w:val="-6"/>
          <w:kern w:val="0"/>
          <w:sz w:val="32"/>
          <w:szCs w:val="32"/>
          <w:lang w:eastAsia="zh" w:bidi="ar"/>
        </w:rPr>
        <w:t>3</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eastAsia="zh" w:bidi="ar"/>
        </w:rPr>
        <w:t>主接线</w:t>
      </w:r>
    </w:p>
    <w:p w14:paraId="79171708">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.3.1 配电所、变电所的高压及低压母线宜采用单母线或单母线分段接线。当对供电连续性要求很高时，高压母线可采用单母线分段带旁路母线或双母线的接线。</w:t>
      </w:r>
    </w:p>
    <w:p w14:paraId="6E91FAC4">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.3.2  10kV电源进线处，应根据当地供电部门的规定，装设或预留专供计量用的电压、电流互感器。</w:t>
      </w:r>
    </w:p>
    <w:p w14:paraId="79626862">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.3.3  10kV的开关设备选用真空断路器时，应装设过电压吸收装置。</w:t>
      </w:r>
    </w:p>
    <w:p w14:paraId="1F2FC9C3">
      <w:pPr>
        <w:pStyle w:val="8"/>
        <w:widowControl/>
        <w:spacing w:beforeAutospacing="0" w:afterAutospacing="0" w:line="560" w:lineRule="exact"/>
        <w:jc w:val="both"/>
        <w:rPr>
          <w:rFonts w:hint="eastAsia" w:ascii="宋体" w:hAnsi="宋体" w:eastAsia="宋体" w:cs="宋体"/>
          <w:spacing w:val="6"/>
          <w:kern w:val="2"/>
          <w:sz w:val="32"/>
          <w:szCs w:val="32"/>
          <w:lang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.3.4 有防止不同电源并联运行要求时，来自不同电源的进线低压断路器与母线分段的低压断路器之间应设防止不同电源并联运行的电气联锁。</w:t>
      </w:r>
    </w:p>
    <w:p w14:paraId="048E44B3">
      <w:pPr>
        <w:pStyle w:val="8"/>
        <w:widowControl/>
        <w:spacing w:beforeAutospacing="0" w:afterAutospacing="0" w:line="560" w:lineRule="exact"/>
        <w:jc w:val="both"/>
        <w:rPr>
          <w:rFonts w:hint="eastAsia" w:ascii="宋体" w:hAnsi="宋体" w:eastAsia="宋体" w:cs="宋体"/>
          <w:spacing w:val="6"/>
          <w:kern w:val="2"/>
          <w:sz w:val="32"/>
          <w:szCs w:val="32"/>
          <w:lang w:eastAsia="zh" w:bidi="ar"/>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bidi="ar"/>
        </w:rPr>
        <w:t>.3.5</w:t>
      </w:r>
      <w:r>
        <w:rPr>
          <w:rFonts w:hint="eastAsia" w:ascii="宋体" w:hAnsi="宋体" w:eastAsia="宋体" w:cs="宋体"/>
          <w:spacing w:val="6"/>
          <w:kern w:val="2"/>
          <w:sz w:val="32"/>
          <w:szCs w:val="32"/>
          <w:lang w:eastAsia="zh" w:bidi="ar"/>
        </w:rPr>
        <w:t xml:space="preserve"> 住宅</w:t>
      </w:r>
      <w:r>
        <w:rPr>
          <w:rFonts w:hint="eastAsia" w:ascii="宋体" w:hAnsi="宋体" w:eastAsia="宋体" w:cs="宋体"/>
          <w:spacing w:val="6"/>
          <w:kern w:val="2"/>
          <w:sz w:val="32"/>
          <w:szCs w:val="32"/>
          <w:lang w:eastAsia="zh" w:bidi="ar"/>
          <w:woUserID w:val="1"/>
        </w:rPr>
        <w:t>建筑</w:t>
      </w:r>
      <w:r>
        <w:rPr>
          <w:rFonts w:hint="eastAsia" w:ascii="宋体" w:hAnsi="宋体" w:eastAsia="宋体" w:cs="宋体"/>
          <w:spacing w:val="6"/>
          <w:kern w:val="2"/>
          <w:sz w:val="32"/>
          <w:szCs w:val="32"/>
          <w:lang w:eastAsia="zh" w:bidi="ar"/>
        </w:rPr>
        <w:t>配电变压器单台变压器容量不宜大于1250kVA，装有两台及以上变压器的变电所，当任意一台变压器断开时，其余变压器的容量应能满足全部一级及二级负荷的用电。</w:t>
      </w:r>
    </w:p>
    <w:p w14:paraId="040C4533">
      <w:pPr>
        <w:widowControl/>
        <w:spacing w:line="560" w:lineRule="exact"/>
        <w:jc w:val="left"/>
        <w:rPr>
          <w:rFonts w:ascii="仿宋" w:hAnsi="仿宋" w:eastAsia="仿宋" w:cs="仿宋"/>
          <w:sz w:val="32"/>
          <w:szCs w:val="32"/>
          <w:highlight w:val="yellow"/>
          <w:lang w:eastAsia="zh"/>
          <w:woUserID w:val="2"/>
        </w:rPr>
      </w:pPr>
    </w:p>
    <w:p w14:paraId="1CA8B95D">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2"/>
        </w:rPr>
      </w:pPr>
      <w:r>
        <w:rPr>
          <w:rFonts w:hint="eastAsia" w:ascii="宋体" w:hAnsi="宋体" w:eastAsia="宋体" w:cs="宋体"/>
          <w:b/>
          <w:bCs/>
          <w:color w:val="000000"/>
          <w:spacing w:val="-6"/>
          <w:kern w:val="0"/>
          <w:sz w:val="32"/>
          <w:szCs w:val="32"/>
          <w:lang w:eastAsia="zh" w:bidi="ar"/>
          <w:woUserID w:val="2"/>
        </w:rPr>
        <w:t>5.</w:t>
      </w:r>
      <w:r>
        <w:rPr>
          <w:rFonts w:hint="eastAsia" w:ascii="宋体" w:hAnsi="宋体" w:eastAsia="宋体" w:cs="宋体"/>
          <w:b/>
          <w:bCs/>
          <w:color w:val="000000"/>
          <w:spacing w:val="-6"/>
          <w:kern w:val="0"/>
          <w:sz w:val="32"/>
          <w:szCs w:val="32"/>
          <w:lang w:val="en-US" w:eastAsia="zh-CN" w:bidi="ar"/>
          <w:woUserID w:val="2"/>
        </w:rPr>
        <w:t>4</w:t>
      </w:r>
      <w:r>
        <w:rPr>
          <w:rFonts w:hint="eastAsia" w:ascii="宋体" w:hAnsi="宋体" w:eastAsia="宋体" w:cs="宋体"/>
          <w:b/>
          <w:bCs/>
          <w:color w:val="000000"/>
          <w:spacing w:val="-6"/>
          <w:kern w:val="0"/>
          <w:sz w:val="32"/>
          <w:szCs w:val="32"/>
          <w:lang w:eastAsia="zh" w:bidi="ar"/>
          <w:woUserID w:val="2"/>
        </w:rPr>
        <w:t xml:space="preserve"> 开关柜选型</w:t>
      </w:r>
    </w:p>
    <w:p w14:paraId="697FC57E">
      <w:pPr>
        <w:widowControl/>
        <w:spacing w:line="560" w:lineRule="exact"/>
        <w:jc w:val="left"/>
        <w:rPr>
          <w:rFonts w:hint="eastAsia" w:ascii="宋体" w:hAnsi="宋体" w:eastAsia="宋体" w:cs="宋体"/>
          <w:spacing w:val="6"/>
          <w:sz w:val="32"/>
          <w:szCs w:val="32"/>
          <w:lang w:bidi="ar"/>
          <w:woUserID w:val="2"/>
        </w:rPr>
      </w:pPr>
      <w:r>
        <w:rPr>
          <w:rFonts w:hint="eastAsia" w:ascii="宋体" w:hAnsi="宋体" w:eastAsia="宋体" w:cs="宋体"/>
          <w:spacing w:val="6"/>
          <w:sz w:val="32"/>
          <w:szCs w:val="32"/>
          <w:lang w:eastAsia="zh" w:bidi="ar"/>
          <w:woUserID w:val="2"/>
        </w:rPr>
        <w:t>5.</w:t>
      </w:r>
      <w:r>
        <w:rPr>
          <w:rFonts w:hint="eastAsia" w:ascii="宋体" w:hAnsi="宋体" w:eastAsia="宋体" w:cs="宋体"/>
          <w:spacing w:val="6"/>
          <w:sz w:val="32"/>
          <w:szCs w:val="32"/>
          <w:lang w:val="en-US" w:eastAsia="zh-CN" w:bidi="ar"/>
          <w:woUserID w:val="2"/>
        </w:rPr>
        <w:t>4</w:t>
      </w:r>
      <w:r>
        <w:rPr>
          <w:rFonts w:hint="eastAsia" w:ascii="宋体" w:hAnsi="宋体" w:eastAsia="宋体" w:cs="宋体"/>
          <w:spacing w:val="6"/>
          <w:sz w:val="32"/>
          <w:szCs w:val="32"/>
          <w:lang w:eastAsia="zh" w:bidi="ar"/>
          <w:woUserID w:val="2"/>
        </w:rPr>
        <w:t>.1</w:t>
      </w:r>
      <w:r>
        <w:rPr>
          <w:rFonts w:hint="eastAsia" w:ascii="宋体" w:hAnsi="宋体" w:eastAsia="宋体" w:cs="宋体"/>
          <w:spacing w:val="6"/>
          <w:sz w:val="32"/>
          <w:szCs w:val="32"/>
          <w:lang w:bidi="ar"/>
          <w:woUserID w:val="2"/>
        </w:rPr>
        <w:t xml:space="preserve">  </w:t>
      </w:r>
      <w:r>
        <w:rPr>
          <w:rFonts w:hint="eastAsia" w:ascii="宋体" w:hAnsi="宋体" w:eastAsia="宋体" w:cs="宋体"/>
          <w:spacing w:val="6"/>
          <w:sz w:val="32"/>
          <w:szCs w:val="32"/>
          <w:lang w:eastAsia="zh" w:bidi="ar"/>
          <w:woUserID w:val="2"/>
        </w:rPr>
        <w:t>10kV</w:t>
      </w:r>
      <w:r>
        <w:rPr>
          <w:rFonts w:hint="eastAsia" w:ascii="宋体" w:hAnsi="宋体" w:eastAsia="宋体" w:cs="宋体"/>
          <w:spacing w:val="6"/>
          <w:sz w:val="32"/>
          <w:szCs w:val="32"/>
          <w:lang w:bidi="ar"/>
          <w:woUserID w:val="2"/>
        </w:rPr>
        <w:t>开关</w:t>
      </w:r>
      <w:r>
        <w:rPr>
          <w:rFonts w:hint="eastAsia" w:ascii="宋体" w:hAnsi="宋体" w:eastAsia="宋体" w:cs="宋体"/>
          <w:spacing w:val="6"/>
          <w:sz w:val="32"/>
          <w:szCs w:val="32"/>
          <w:lang w:eastAsia="zh" w:bidi="ar"/>
          <w:woUserID w:val="2"/>
        </w:rPr>
        <w:t>柜</w:t>
      </w:r>
      <w:r>
        <w:rPr>
          <w:rFonts w:hint="eastAsia" w:ascii="宋体" w:hAnsi="宋体" w:eastAsia="宋体" w:cs="宋体"/>
          <w:spacing w:val="6"/>
          <w:sz w:val="32"/>
          <w:szCs w:val="32"/>
          <w:lang w:val="en-US" w:eastAsia="zh-CN" w:bidi="ar"/>
          <w:woUserID w:val="2"/>
        </w:rPr>
        <w:t>宜</w:t>
      </w:r>
      <w:r>
        <w:rPr>
          <w:rFonts w:hint="eastAsia" w:ascii="宋体" w:hAnsi="宋体" w:eastAsia="宋体" w:cs="宋体"/>
          <w:spacing w:val="6"/>
          <w:sz w:val="32"/>
          <w:szCs w:val="32"/>
          <w:lang w:bidi="ar"/>
          <w:woUserID w:val="2"/>
        </w:rPr>
        <w:t>采用铠装移开式交流金属封闭开关设备。进、出线及分段开关设备均选用真空断路器，配备电动操作机构，配置保护测控一体化装置，并具备“五防”闭锁功能，配置带电指示器（带二次核相孔）和电缆故障指示器</w:t>
      </w:r>
      <w:r>
        <w:rPr>
          <w:rFonts w:hint="eastAsia" w:ascii="宋体" w:hAnsi="宋体" w:eastAsia="宋体" w:cs="宋体"/>
          <w:spacing w:val="6"/>
          <w:sz w:val="32"/>
          <w:szCs w:val="32"/>
          <w:lang w:eastAsia="zh" w:bidi="ar"/>
          <w:woUserID w:val="2"/>
        </w:rPr>
        <w:t>，互感器应采用干式绝缘</w:t>
      </w:r>
      <w:r>
        <w:rPr>
          <w:rFonts w:hint="eastAsia" w:ascii="宋体" w:hAnsi="宋体" w:eastAsia="宋体" w:cs="宋体"/>
          <w:spacing w:val="6"/>
          <w:sz w:val="32"/>
          <w:szCs w:val="32"/>
          <w:lang w:bidi="ar"/>
          <w:woUserID w:val="2"/>
        </w:rPr>
        <w:t>。</w:t>
      </w:r>
    </w:p>
    <w:p w14:paraId="44F35351">
      <w:pPr>
        <w:spacing w:line="560" w:lineRule="exact"/>
        <w:rPr>
          <w:rFonts w:hint="eastAsia" w:ascii="宋体" w:hAnsi="宋体" w:eastAsia="宋体" w:cs="宋体"/>
          <w:spacing w:val="6"/>
          <w:sz w:val="32"/>
          <w:szCs w:val="32"/>
          <w:lang w:eastAsia="zh" w:bidi="ar"/>
          <w:woUserID w:val="2"/>
        </w:rPr>
      </w:pPr>
      <w:r>
        <w:rPr>
          <w:rFonts w:hint="eastAsia" w:ascii="宋体" w:hAnsi="宋体" w:eastAsia="宋体" w:cs="宋体"/>
          <w:spacing w:val="6"/>
          <w:sz w:val="32"/>
          <w:szCs w:val="32"/>
          <w:lang w:eastAsia="zh" w:bidi="ar"/>
          <w:woUserID w:val="2"/>
        </w:rPr>
        <w:t>5.</w:t>
      </w:r>
      <w:r>
        <w:rPr>
          <w:rFonts w:hint="eastAsia" w:ascii="宋体" w:hAnsi="宋体" w:eastAsia="宋体" w:cs="宋体"/>
          <w:spacing w:val="6"/>
          <w:sz w:val="32"/>
          <w:szCs w:val="32"/>
          <w:lang w:val="en-US" w:eastAsia="zh-CN" w:bidi="ar"/>
          <w:woUserID w:val="2"/>
        </w:rPr>
        <w:t>4</w:t>
      </w:r>
      <w:r>
        <w:rPr>
          <w:rFonts w:hint="eastAsia" w:ascii="宋体" w:hAnsi="宋体" w:eastAsia="宋体" w:cs="宋体"/>
          <w:spacing w:val="6"/>
          <w:sz w:val="32"/>
          <w:szCs w:val="32"/>
          <w:lang w:eastAsia="zh" w:bidi="ar"/>
          <w:woUserID w:val="2"/>
        </w:rPr>
        <w:t>.2</w:t>
      </w:r>
      <w:r>
        <w:rPr>
          <w:rFonts w:hint="eastAsia" w:ascii="宋体" w:hAnsi="宋体" w:eastAsia="宋体" w:cs="宋体"/>
          <w:spacing w:val="6"/>
          <w:sz w:val="32"/>
          <w:szCs w:val="32"/>
          <w:lang w:bidi="ar"/>
          <w:woUserID w:val="2"/>
        </w:rPr>
        <w:t xml:space="preserve">  </w:t>
      </w:r>
      <w:r>
        <w:rPr>
          <w:rFonts w:hint="eastAsia" w:ascii="宋体" w:hAnsi="宋体" w:eastAsia="宋体" w:cs="宋体"/>
          <w:spacing w:val="6"/>
          <w:sz w:val="32"/>
          <w:szCs w:val="32"/>
          <w:lang w:eastAsia="zh" w:bidi="ar"/>
          <w:woUserID w:val="2"/>
        </w:rPr>
        <w:t>10kV开关柜母线应选用铜母线。10kV开关柜母线、进线柜、母联柜的额定容量，宜按最终容量一次配置到位，分段母线规格应选用一致，同一</w:t>
      </w:r>
      <w:r>
        <w:rPr>
          <w:rFonts w:hint="eastAsia" w:ascii="宋体" w:hAnsi="宋体" w:eastAsia="宋体" w:cs="宋体"/>
          <w:spacing w:val="6"/>
          <w:sz w:val="32"/>
          <w:szCs w:val="32"/>
          <w:lang w:bidi="ar"/>
          <w:woUserID w:val="2"/>
        </w:rPr>
        <w:t>住宅</w:t>
      </w:r>
      <w:r>
        <w:rPr>
          <w:rFonts w:hint="eastAsia" w:ascii="宋体" w:hAnsi="宋体" w:eastAsia="宋体" w:cs="宋体"/>
          <w:spacing w:val="6"/>
          <w:sz w:val="32"/>
          <w:szCs w:val="32"/>
          <w:lang w:eastAsia="zh" w:bidi="ar"/>
          <w:woUserID w:val="2"/>
        </w:rPr>
        <w:t>小区内应选用技术参数匹配、结构一致的开关柜。</w:t>
      </w:r>
    </w:p>
    <w:p w14:paraId="53CEBAB7">
      <w:pPr>
        <w:spacing w:line="560" w:lineRule="exact"/>
        <w:rPr>
          <w:rFonts w:hint="eastAsia" w:ascii="宋体" w:hAnsi="宋体" w:eastAsia="宋体" w:cs="宋体"/>
          <w:spacing w:val="6"/>
          <w:sz w:val="32"/>
          <w:szCs w:val="32"/>
          <w:lang w:bidi="ar"/>
          <w:woUserID w:val="2"/>
        </w:rPr>
      </w:pPr>
      <w:r>
        <w:rPr>
          <w:rFonts w:hint="eastAsia" w:ascii="宋体" w:hAnsi="宋体" w:eastAsia="宋体" w:cs="宋体"/>
          <w:spacing w:val="6"/>
          <w:sz w:val="32"/>
          <w:szCs w:val="32"/>
          <w:lang w:eastAsia="zh" w:bidi="ar"/>
          <w:woUserID w:val="2"/>
        </w:rPr>
        <w:t>5.</w:t>
      </w:r>
      <w:r>
        <w:rPr>
          <w:rFonts w:hint="eastAsia" w:ascii="宋体" w:hAnsi="宋体" w:eastAsia="宋体" w:cs="宋体"/>
          <w:spacing w:val="6"/>
          <w:sz w:val="32"/>
          <w:szCs w:val="32"/>
          <w:lang w:val="en-US" w:eastAsia="zh-CN" w:bidi="ar"/>
          <w:woUserID w:val="2"/>
        </w:rPr>
        <w:t>4</w:t>
      </w:r>
      <w:r>
        <w:rPr>
          <w:rFonts w:hint="eastAsia" w:ascii="宋体" w:hAnsi="宋体" w:eastAsia="宋体" w:cs="宋体"/>
          <w:spacing w:val="6"/>
          <w:sz w:val="32"/>
          <w:szCs w:val="32"/>
          <w:lang w:eastAsia="zh" w:bidi="ar"/>
          <w:woUserID w:val="2"/>
        </w:rPr>
        <w:t>.3</w:t>
      </w:r>
      <w:r>
        <w:rPr>
          <w:rFonts w:hint="eastAsia" w:ascii="宋体" w:hAnsi="宋体" w:eastAsia="宋体" w:cs="宋体"/>
          <w:spacing w:val="6"/>
          <w:sz w:val="32"/>
          <w:szCs w:val="32"/>
          <w:lang w:bidi="ar"/>
          <w:woUserID w:val="2"/>
        </w:rPr>
        <w:t xml:space="preserve"> 低压开关柜</w:t>
      </w:r>
      <w:r>
        <w:rPr>
          <w:rFonts w:hint="eastAsia" w:ascii="宋体" w:hAnsi="宋体" w:eastAsia="宋体" w:cs="宋体"/>
          <w:spacing w:val="6"/>
          <w:sz w:val="32"/>
          <w:szCs w:val="32"/>
          <w:lang w:eastAsia="zh" w:bidi="ar"/>
          <w:woUserID w:val="2"/>
        </w:rPr>
        <w:t>应</w:t>
      </w:r>
      <w:r>
        <w:rPr>
          <w:rFonts w:hint="eastAsia" w:ascii="宋体" w:hAnsi="宋体" w:eastAsia="宋体" w:cs="宋体"/>
          <w:spacing w:val="6"/>
          <w:sz w:val="32"/>
          <w:szCs w:val="32"/>
          <w:lang w:bidi="ar"/>
          <w:woUserID w:val="2"/>
        </w:rPr>
        <w:t>采用抽出式或固定分隔式结构的成套开关柜，外壳防护等级不低于IP31</w:t>
      </w:r>
      <w:r>
        <w:rPr>
          <w:rFonts w:hint="eastAsia" w:ascii="宋体" w:hAnsi="宋体" w:eastAsia="宋体" w:cs="宋体"/>
          <w:spacing w:val="6"/>
          <w:sz w:val="32"/>
          <w:szCs w:val="32"/>
          <w:lang w:eastAsia="zh-CN" w:bidi="ar"/>
          <w:woUserID w:val="2"/>
        </w:rPr>
        <w:t>。</w:t>
      </w:r>
      <w:r>
        <w:rPr>
          <w:rFonts w:hint="eastAsia" w:ascii="宋体" w:hAnsi="宋体" w:eastAsia="宋体" w:cs="宋体"/>
          <w:spacing w:val="6"/>
          <w:sz w:val="32"/>
          <w:szCs w:val="32"/>
          <w:lang w:bidi="ar"/>
          <w:woUserID w:val="2"/>
        </w:rPr>
        <w:t>在潮湿、易积水的环境下，外壳防护等级不低于IP54。进线柜、联络柜配置电子控制的框架断路器，电动操作；馈线柜开关采用塑壳断路器，</w:t>
      </w:r>
      <w:r>
        <w:rPr>
          <w:rFonts w:hint="eastAsia" w:ascii="宋体" w:hAnsi="宋体" w:eastAsia="宋体" w:cs="宋体"/>
          <w:spacing w:val="6"/>
          <w:sz w:val="32"/>
          <w:szCs w:val="32"/>
          <w:lang w:val="en-US" w:eastAsia="zh-CN" w:bidi="ar"/>
          <w:woUserID w:val="2"/>
        </w:rPr>
        <w:t>配置</w:t>
      </w:r>
      <w:r>
        <w:rPr>
          <w:rFonts w:hint="eastAsia" w:ascii="宋体" w:hAnsi="宋体" w:eastAsia="宋体" w:cs="宋体"/>
          <w:spacing w:val="6"/>
          <w:sz w:val="32"/>
          <w:szCs w:val="32"/>
          <w:lang w:bidi="ar"/>
          <w:woUserID w:val="2"/>
        </w:rPr>
        <w:t>电子脱扣器。柜内断路器与上下级的保护电器，其动作特性应具有选择性，且各级之间应能协调配合。低压开关柜应配置外部电源快速接口。</w:t>
      </w:r>
    </w:p>
    <w:p w14:paraId="34450B1F">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2"/>
        </w:rPr>
      </w:pPr>
      <w:r>
        <w:rPr>
          <w:rFonts w:hint="eastAsia" w:ascii="宋体" w:hAnsi="宋体" w:eastAsia="宋体" w:cs="宋体"/>
          <w:b/>
          <w:bCs/>
          <w:color w:val="000000"/>
          <w:spacing w:val="-6"/>
          <w:kern w:val="0"/>
          <w:sz w:val="32"/>
          <w:szCs w:val="32"/>
          <w:lang w:eastAsia="zh" w:bidi="ar"/>
          <w:woUserID w:val="2"/>
        </w:rPr>
        <w:t>5.</w:t>
      </w:r>
      <w:r>
        <w:rPr>
          <w:rFonts w:hint="eastAsia" w:ascii="宋体" w:hAnsi="宋体" w:eastAsia="宋体" w:cs="宋体"/>
          <w:b/>
          <w:bCs/>
          <w:color w:val="000000"/>
          <w:spacing w:val="-6"/>
          <w:kern w:val="0"/>
          <w:sz w:val="32"/>
          <w:szCs w:val="32"/>
          <w:lang w:val="en-US" w:eastAsia="zh-CN" w:bidi="ar"/>
          <w:woUserID w:val="2"/>
        </w:rPr>
        <w:t>5</w:t>
      </w:r>
      <w:r>
        <w:rPr>
          <w:rFonts w:hint="eastAsia" w:ascii="宋体" w:hAnsi="宋体" w:eastAsia="宋体" w:cs="宋体"/>
          <w:b/>
          <w:bCs/>
          <w:color w:val="000000"/>
          <w:spacing w:val="-6"/>
          <w:kern w:val="0"/>
          <w:sz w:val="32"/>
          <w:szCs w:val="32"/>
          <w:lang w:eastAsia="zh" w:bidi="ar"/>
          <w:woUserID w:val="2"/>
        </w:rPr>
        <w:t xml:space="preserve"> </w:t>
      </w:r>
      <w:r>
        <w:rPr>
          <w:rFonts w:hint="eastAsia" w:ascii="宋体" w:hAnsi="宋体" w:eastAsia="宋体" w:cs="宋体"/>
          <w:b/>
          <w:bCs/>
          <w:color w:val="000000"/>
          <w:spacing w:val="-6"/>
          <w:kern w:val="0"/>
          <w:sz w:val="32"/>
          <w:szCs w:val="32"/>
          <w:lang w:bidi="ar"/>
          <w:woUserID w:val="2"/>
        </w:rPr>
        <w:t>配电</w:t>
      </w:r>
      <w:r>
        <w:rPr>
          <w:rFonts w:hint="eastAsia" w:ascii="宋体" w:hAnsi="宋体" w:eastAsia="宋体" w:cs="宋体"/>
          <w:b/>
          <w:bCs/>
          <w:color w:val="000000"/>
          <w:spacing w:val="-6"/>
          <w:kern w:val="0"/>
          <w:sz w:val="32"/>
          <w:szCs w:val="32"/>
          <w:lang w:eastAsia="zh" w:bidi="ar"/>
          <w:woUserID w:val="2"/>
        </w:rPr>
        <w:t>变压器选型</w:t>
      </w:r>
    </w:p>
    <w:p w14:paraId="0AED5351">
      <w:pPr>
        <w:spacing w:line="560" w:lineRule="exact"/>
        <w:rPr>
          <w:rFonts w:hint="eastAsia" w:ascii="宋体" w:hAnsi="宋体" w:eastAsia="宋体" w:cs="宋体"/>
          <w:spacing w:val="6"/>
          <w:sz w:val="32"/>
          <w:szCs w:val="32"/>
          <w:lang w:bidi="ar"/>
          <w:woUserID w:val="2"/>
        </w:rPr>
      </w:pPr>
      <w:r>
        <w:rPr>
          <w:rFonts w:hint="eastAsia" w:ascii="宋体" w:hAnsi="宋体" w:eastAsia="宋体" w:cs="宋体"/>
          <w:spacing w:val="6"/>
          <w:sz w:val="32"/>
          <w:szCs w:val="32"/>
          <w:lang w:eastAsia="zh" w:bidi="ar"/>
          <w:woUserID w:val="2"/>
        </w:rPr>
        <w:t>5.</w:t>
      </w:r>
      <w:r>
        <w:rPr>
          <w:rFonts w:hint="eastAsia" w:ascii="宋体" w:hAnsi="宋体" w:eastAsia="宋体" w:cs="宋体"/>
          <w:spacing w:val="6"/>
          <w:sz w:val="32"/>
          <w:szCs w:val="32"/>
          <w:lang w:val="en-US" w:eastAsia="zh-CN" w:bidi="ar"/>
          <w:woUserID w:val="2"/>
        </w:rPr>
        <w:t>5</w:t>
      </w:r>
      <w:r>
        <w:rPr>
          <w:rFonts w:hint="eastAsia" w:ascii="宋体" w:hAnsi="宋体" w:eastAsia="宋体" w:cs="宋体"/>
          <w:spacing w:val="6"/>
          <w:sz w:val="32"/>
          <w:szCs w:val="32"/>
          <w:lang w:eastAsia="zh" w:bidi="ar"/>
          <w:woUserID w:val="2"/>
        </w:rPr>
        <w:t>.1</w:t>
      </w:r>
      <w:r>
        <w:rPr>
          <w:rFonts w:hint="eastAsia" w:ascii="宋体" w:hAnsi="宋体" w:eastAsia="宋体" w:cs="宋体"/>
          <w:spacing w:val="6"/>
          <w:sz w:val="32"/>
          <w:szCs w:val="32"/>
          <w:lang w:bidi="ar"/>
          <w:woUserID w:val="2"/>
        </w:rPr>
        <w:t xml:space="preserve"> 变压器应选用《电力变压器能效限定值及能效等级》GB20052规定的二级能效及以上的节能型变压器，</w:t>
      </w:r>
      <w:r>
        <w:rPr>
          <w:rFonts w:hint="eastAsia" w:ascii="宋体" w:hAnsi="宋体" w:eastAsia="宋体" w:cs="宋体"/>
          <w:spacing w:val="6"/>
          <w:sz w:val="32"/>
          <w:szCs w:val="32"/>
          <w:lang w:val="en-US" w:eastAsia="zh-CN" w:bidi="ar"/>
          <w:woUserID w:val="2"/>
        </w:rPr>
        <w:t>应配置数据可传输型的温度传感器，</w:t>
      </w:r>
      <w:r>
        <w:rPr>
          <w:rFonts w:hint="eastAsia" w:ascii="宋体" w:hAnsi="宋体" w:eastAsia="宋体" w:cs="宋体"/>
          <w:spacing w:val="6"/>
          <w:sz w:val="32"/>
          <w:szCs w:val="32"/>
          <w:lang w:bidi="ar"/>
          <w:woUserID w:val="2"/>
        </w:rPr>
        <w:t>变压器接线宜采用Dyn11</w:t>
      </w:r>
      <w:r>
        <w:rPr>
          <w:rFonts w:hint="eastAsia" w:ascii="宋体" w:hAnsi="宋体" w:eastAsia="宋体" w:cs="宋体"/>
          <w:spacing w:val="6"/>
          <w:sz w:val="32"/>
          <w:szCs w:val="32"/>
          <w:lang w:eastAsia="zh-CN" w:bidi="ar"/>
          <w:woUserID w:val="2"/>
        </w:rPr>
        <w:t>，</w:t>
      </w:r>
      <w:r>
        <w:rPr>
          <w:rFonts w:hint="eastAsia" w:ascii="宋体" w:hAnsi="宋体" w:eastAsia="宋体" w:cs="宋体"/>
          <w:spacing w:val="6"/>
          <w:sz w:val="32"/>
          <w:szCs w:val="32"/>
          <w:lang w:bidi="ar"/>
          <w:woUserID w:val="2"/>
        </w:rPr>
        <w:t>高压侧有‌五级无励磁调压‌功能，允许电压在额定值基础上进行±5%的调节。</w:t>
      </w:r>
    </w:p>
    <w:p w14:paraId="40A35FB0">
      <w:pPr>
        <w:spacing w:line="560" w:lineRule="exact"/>
        <w:rPr>
          <w:rFonts w:hint="eastAsia" w:ascii="宋体" w:hAnsi="宋体" w:eastAsia="宋体" w:cs="宋体"/>
          <w:spacing w:val="6"/>
          <w:sz w:val="32"/>
          <w:szCs w:val="32"/>
          <w:lang w:bidi="ar"/>
          <w:woUserID w:val="2"/>
        </w:rPr>
      </w:pPr>
      <w:r>
        <w:rPr>
          <w:rFonts w:hint="eastAsia" w:ascii="宋体" w:hAnsi="宋体" w:eastAsia="宋体" w:cs="宋体"/>
          <w:spacing w:val="6"/>
          <w:sz w:val="32"/>
          <w:szCs w:val="32"/>
          <w:lang w:eastAsia="zh" w:bidi="ar"/>
          <w:woUserID w:val="2"/>
        </w:rPr>
        <w:t>5.</w:t>
      </w:r>
      <w:r>
        <w:rPr>
          <w:rFonts w:hint="eastAsia" w:ascii="宋体" w:hAnsi="宋体" w:eastAsia="宋体" w:cs="宋体"/>
          <w:spacing w:val="6"/>
          <w:sz w:val="32"/>
          <w:szCs w:val="32"/>
          <w:lang w:val="en-US" w:eastAsia="zh-CN" w:bidi="ar"/>
          <w:woUserID w:val="2"/>
        </w:rPr>
        <w:t>5</w:t>
      </w:r>
      <w:r>
        <w:rPr>
          <w:rFonts w:hint="eastAsia" w:ascii="宋体" w:hAnsi="宋体" w:eastAsia="宋体" w:cs="宋体"/>
          <w:spacing w:val="6"/>
          <w:sz w:val="32"/>
          <w:szCs w:val="32"/>
          <w:lang w:eastAsia="zh" w:bidi="ar"/>
          <w:woUserID w:val="2"/>
        </w:rPr>
        <w:t>.2</w:t>
      </w:r>
      <w:r>
        <w:rPr>
          <w:rFonts w:hint="eastAsia" w:ascii="宋体" w:hAnsi="宋体" w:eastAsia="宋体" w:cs="宋体"/>
          <w:spacing w:val="6"/>
          <w:sz w:val="32"/>
          <w:szCs w:val="32"/>
          <w:lang w:bidi="ar"/>
          <w:woUserID w:val="2"/>
        </w:rPr>
        <w:t xml:space="preserve"> 考虑满足将来居民负荷增长的需要，变压器可选择的油浸式配电变压器容量为200kVA、400kVA、630kVA，可选择的干式配电变压器容量为400kVA、630kVA、800kVA、1000kVA、1250kVA，具体根据负荷情况，在“安全、经济”的原则上，合理配置变压器。柱上变压器设置容量不宜大于400kVA。</w:t>
      </w:r>
    </w:p>
    <w:p w14:paraId="5C7AA6B2">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2"/>
        </w:rPr>
      </w:pPr>
      <w:r>
        <w:rPr>
          <w:rFonts w:hint="eastAsia" w:ascii="宋体" w:hAnsi="宋体" w:eastAsia="宋体" w:cs="宋体"/>
          <w:b/>
          <w:bCs/>
          <w:color w:val="000000"/>
          <w:spacing w:val="-6"/>
          <w:kern w:val="0"/>
          <w:sz w:val="32"/>
          <w:szCs w:val="32"/>
          <w:lang w:eastAsia="zh" w:bidi="ar"/>
          <w:woUserID w:val="2"/>
        </w:rPr>
        <w:t>5.</w:t>
      </w:r>
      <w:r>
        <w:rPr>
          <w:rFonts w:hint="eastAsia" w:ascii="宋体" w:hAnsi="宋体" w:eastAsia="宋体" w:cs="宋体"/>
          <w:b/>
          <w:bCs/>
          <w:color w:val="000000"/>
          <w:spacing w:val="-6"/>
          <w:kern w:val="0"/>
          <w:sz w:val="32"/>
          <w:szCs w:val="32"/>
          <w:lang w:val="en-US" w:eastAsia="zh-CN" w:bidi="ar"/>
          <w:woUserID w:val="2"/>
        </w:rPr>
        <w:t>6</w:t>
      </w:r>
      <w:r>
        <w:rPr>
          <w:rFonts w:hint="eastAsia" w:ascii="宋体" w:hAnsi="宋体" w:eastAsia="宋体" w:cs="宋体"/>
          <w:b/>
          <w:bCs/>
          <w:color w:val="000000"/>
          <w:spacing w:val="-6"/>
          <w:kern w:val="0"/>
          <w:sz w:val="32"/>
          <w:szCs w:val="32"/>
          <w:lang w:eastAsia="zh" w:bidi="ar"/>
          <w:woUserID w:val="2"/>
        </w:rPr>
        <w:t xml:space="preserve"> 预装式变电站</w:t>
      </w:r>
    </w:p>
    <w:p w14:paraId="749E59AF">
      <w:pPr>
        <w:pStyle w:val="8"/>
        <w:widowControl/>
        <w:spacing w:beforeAutospacing="0" w:afterAutospacing="0" w:line="560" w:lineRule="exact"/>
        <w:jc w:val="both"/>
        <w:rPr>
          <w:rFonts w:hint="eastAsia" w:ascii="宋体" w:hAnsi="宋体" w:eastAsia="宋体" w:cs="宋体"/>
          <w:spacing w:val="6"/>
          <w:kern w:val="2"/>
          <w:sz w:val="32"/>
          <w:szCs w:val="32"/>
          <w:lang w:bidi="ar"/>
          <w:woUserID w:val="2"/>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val="en-US" w:eastAsia="zh-CN" w:bidi="ar"/>
          <w:woUserID w:val="2"/>
        </w:rPr>
        <w:t>6</w:t>
      </w:r>
      <w:r>
        <w:rPr>
          <w:rFonts w:hint="eastAsia" w:ascii="宋体" w:hAnsi="宋体" w:eastAsia="宋体" w:cs="宋体"/>
          <w:spacing w:val="6"/>
          <w:kern w:val="2"/>
          <w:sz w:val="32"/>
          <w:szCs w:val="32"/>
          <w:lang w:bidi="ar"/>
          <w:woUserID w:val="2"/>
        </w:rPr>
        <w:t>.1 预装式变电站的选用和设计应符合现行国家标准《高压/低压预装式变电站》GB17467的有关规定。</w:t>
      </w:r>
    </w:p>
    <w:p w14:paraId="178CA328">
      <w:pPr>
        <w:pStyle w:val="8"/>
        <w:widowControl/>
        <w:spacing w:beforeAutospacing="0" w:afterAutospacing="0" w:line="560" w:lineRule="exact"/>
        <w:jc w:val="both"/>
        <w:rPr>
          <w:rFonts w:hint="eastAsia" w:ascii="宋体" w:hAnsi="宋体" w:eastAsia="宋体" w:cs="宋体"/>
          <w:spacing w:val="6"/>
          <w:kern w:val="2"/>
          <w:sz w:val="32"/>
          <w:szCs w:val="32"/>
          <w:lang w:bidi="ar"/>
          <w:woUserID w:val="2"/>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val="en-US" w:eastAsia="zh-CN" w:bidi="ar"/>
          <w:woUserID w:val="2"/>
        </w:rPr>
        <w:t>6</w:t>
      </w:r>
      <w:r>
        <w:rPr>
          <w:rFonts w:hint="eastAsia" w:ascii="宋体" w:hAnsi="宋体" w:eastAsia="宋体" w:cs="宋体"/>
          <w:spacing w:val="6"/>
          <w:kern w:val="2"/>
          <w:sz w:val="32"/>
          <w:szCs w:val="32"/>
          <w:lang w:bidi="ar"/>
          <w:woUserID w:val="2"/>
        </w:rPr>
        <w:t>.</w:t>
      </w:r>
      <w:r>
        <w:rPr>
          <w:rFonts w:hint="eastAsia" w:ascii="宋体" w:hAnsi="宋体" w:eastAsia="宋体" w:cs="宋体"/>
          <w:spacing w:val="6"/>
          <w:kern w:val="2"/>
          <w:sz w:val="32"/>
          <w:szCs w:val="32"/>
          <w:lang w:eastAsia="zh" w:bidi="ar"/>
          <w:woUserID w:val="2"/>
        </w:rPr>
        <w:t>2</w:t>
      </w:r>
      <w:r>
        <w:rPr>
          <w:rFonts w:hint="eastAsia" w:ascii="宋体" w:hAnsi="宋体" w:eastAsia="宋体" w:cs="宋体"/>
          <w:spacing w:val="6"/>
          <w:kern w:val="2"/>
          <w:sz w:val="32"/>
          <w:szCs w:val="32"/>
          <w:lang w:bidi="ar"/>
          <w:woUserID w:val="2"/>
        </w:rPr>
        <w:t xml:space="preserve"> 预装式变电站单台变压器的容量不宜大于800kVA。</w:t>
      </w:r>
    </w:p>
    <w:p w14:paraId="65E669D3">
      <w:pPr>
        <w:pStyle w:val="8"/>
        <w:widowControl/>
        <w:spacing w:beforeAutospacing="0" w:afterAutospacing="0" w:line="560" w:lineRule="exact"/>
        <w:jc w:val="both"/>
        <w:rPr>
          <w:rFonts w:hint="eastAsia" w:ascii="宋体" w:hAnsi="宋体" w:eastAsia="宋体" w:cs="宋体"/>
          <w:spacing w:val="6"/>
          <w:kern w:val="2"/>
          <w:sz w:val="32"/>
          <w:szCs w:val="32"/>
          <w:lang w:bidi="ar"/>
          <w:woUserID w:val="2"/>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val="en-US" w:eastAsia="zh-CN" w:bidi="ar"/>
          <w:woUserID w:val="2"/>
        </w:rPr>
        <w:t>6</w:t>
      </w:r>
      <w:r>
        <w:rPr>
          <w:rFonts w:hint="eastAsia" w:ascii="宋体" w:hAnsi="宋体" w:eastAsia="宋体" w:cs="宋体"/>
          <w:spacing w:val="6"/>
          <w:kern w:val="2"/>
          <w:sz w:val="32"/>
          <w:szCs w:val="32"/>
          <w:lang w:bidi="ar"/>
          <w:woUserID w:val="2"/>
        </w:rPr>
        <w:t>.</w:t>
      </w:r>
      <w:r>
        <w:rPr>
          <w:rFonts w:hint="eastAsia" w:ascii="宋体" w:hAnsi="宋体" w:eastAsia="宋体" w:cs="宋体"/>
          <w:spacing w:val="6"/>
          <w:kern w:val="2"/>
          <w:sz w:val="32"/>
          <w:szCs w:val="32"/>
          <w:lang w:eastAsia="zh" w:bidi="ar"/>
          <w:woUserID w:val="2"/>
        </w:rPr>
        <w:t>3 环网单元应由进线单元、配变出线单元、环出单元组成</w:t>
      </w:r>
      <w:r>
        <w:rPr>
          <w:rFonts w:hint="eastAsia" w:ascii="宋体" w:hAnsi="宋体" w:eastAsia="宋体" w:cs="宋体"/>
          <w:spacing w:val="6"/>
          <w:kern w:val="2"/>
          <w:sz w:val="32"/>
          <w:szCs w:val="32"/>
          <w:lang w:eastAsia="zh-CN" w:bidi="ar"/>
          <w:woUserID w:val="2"/>
        </w:rPr>
        <w:t>。</w:t>
      </w:r>
      <w:r>
        <w:rPr>
          <w:rFonts w:hint="eastAsia" w:ascii="宋体" w:hAnsi="宋体" w:eastAsia="宋体" w:cs="宋体"/>
          <w:spacing w:val="6"/>
          <w:kern w:val="2"/>
          <w:sz w:val="32"/>
          <w:szCs w:val="32"/>
          <w:lang w:eastAsia="zh" w:bidi="ar"/>
          <w:woUserID w:val="2"/>
        </w:rPr>
        <w:t>环网单元</w:t>
      </w:r>
      <w:r>
        <w:rPr>
          <w:rFonts w:hint="eastAsia" w:ascii="宋体" w:hAnsi="宋体" w:eastAsia="宋体" w:cs="宋体"/>
          <w:spacing w:val="6"/>
          <w:kern w:val="2"/>
          <w:sz w:val="32"/>
          <w:szCs w:val="32"/>
          <w:lang w:val="en-US" w:eastAsia="zh-CN" w:bidi="ar"/>
          <w:woUserID w:val="2"/>
        </w:rPr>
        <w:t>宜采用断路器，</w:t>
      </w:r>
      <w:r>
        <w:rPr>
          <w:rFonts w:hint="eastAsia" w:ascii="宋体" w:hAnsi="宋体" w:eastAsia="宋体" w:cs="宋体"/>
          <w:spacing w:val="6"/>
          <w:kern w:val="2"/>
          <w:sz w:val="32"/>
          <w:szCs w:val="32"/>
          <w:lang w:eastAsia="zh" w:bidi="ar"/>
          <w:woUserID w:val="2"/>
        </w:rPr>
        <w:t>应具有“五防”功能</w:t>
      </w:r>
      <w:r>
        <w:rPr>
          <w:rFonts w:hint="eastAsia" w:ascii="宋体" w:hAnsi="宋体" w:eastAsia="宋体" w:cs="宋体"/>
          <w:spacing w:val="6"/>
          <w:kern w:val="2"/>
          <w:sz w:val="32"/>
          <w:szCs w:val="32"/>
          <w:lang w:bidi="ar"/>
          <w:woUserID w:val="2"/>
        </w:rPr>
        <w:t>，并配置电动操作机构、带电显示器及故障指示器，带电指示器应具备二次核相功能，电动操作机构及二次回路封闭装置的防护等级不低于IP55。</w:t>
      </w:r>
    </w:p>
    <w:p w14:paraId="494A85FE">
      <w:pPr>
        <w:pStyle w:val="8"/>
        <w:widowControl/>
        <w:spacing w:beforeAutospacing="0" w:afterAutospacing="0" w:line="560" w:lineRule="exact"/>
        <w:jc w:val="both"/>
        <w:rPr>
          <w:rFonts w:hint="eastAsia" w:ascii="宋体" w:hAnsi="宋体" w:eastAsia="宋体" w:cs="宋体"/>
          <w:spacing w:val="6"/>
          <w:kern w:val="2"/>
          <w:sz w:val="32"/>
          <w:szCs w:val="32"/>
          <w:lang w:bidi="ar"/>
          <w:woUserID w:val="2"/>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val="en-US" w:eastAsia="zh-CN" w:bidi="ar"/>
          <w:woUserID w:val="2"/>
        </w:rPr>
        <w:t>6</w:t>
      </w:r>
      <w:r>
        <w:rPr>
          <w:rFonts w:hint="eastAsia" w:ascii="宋体" w:hAnsi="宋体" w:eastAsia="宋体" w:cs="宋体"/>
          <w:spacing w:val="6"/>
          <w:kern w:val="2"/>
          <w:sz w:val="32"/>
          <w:szCs w:val="32"/>
          <w:lang w:bidi="ar"/>
          <w:woUserID w:val="2"/>
        </w:rPr>
        <w:t>.</w:t>
      </w:r>
      <w:r>
        <w:rPr>
          <w:rFonts w:hint="eastAsia" w:ascii="宋体" w:hAnsi="宋体" w:eastAsia="宋体" w:cs="宋体"/>
          <w:spacing w:val="6"/>
          <w:kern w:val="2"/>
          <w:sz w:val="32"/>
          <w:szCs w:val="32"/>
          <w:lang w:eastAsia="zh" w:bidi="ar"/>
          <w:woUserID w:val="2"/>
        </w:rPr>
        <w:t>4</w:t>
      </w:r>
      <w:r>
        <w:rPr>
          <w:rFonts w:hint="eastAsia" w:ascii="宋体" w:hAnsi="宋体" w:eastAsia="宋体" w:cs="宋体"/>
          <w:spacing w:val="6"/>
          <w:kern w:val="2"/>
          <w:sz w:val="32"/>
          <w:szCs w:val="32"/>
          <w:lang w:bidi="ar"/>
          <w:woUserID w:val="2"/>
        </w:rPr>
        <w:t xml:space="preserve"> 预装式变电站低压侧应配置外部电源快速接口。低压进线总开关采用框架式空气断路器，并具有微处理器的电子式控制器；低压出线开关采用塑壳断路器，配电子脱扣器，与上下级的保护电器，其动作特性应具有选择性，且各级之间应能协调配合。</w:t>
      </w:r>
    </w:p>
    <w:p w14:paraId="6E8236DB">
      <w:pPr>
        <w:widowControl/>
        <w:spacing w:line="560" w:lineRule="exact"/>
        <w:jc w:val="left"/>
        <w:rPr>
          <w:rFonts w:hint="eastAsia" w:ascii="宋体" w:hAnsi="宋体" w:eastAsia="宋体" w:cs="宋体"/>
          <w:spacing w:val="6"/>
          <w:sz w:val="32"/>
          <w:szCs w:val="32"/>
          <w:highlight w:val="yellow"/>
          <w:lang w:val="en-US" w:eastAsia="zh-CN" w:bidi="ar"/>
          <w:woUserID w:val="2"/>
        </w:rPr>
      </w:pPr>
      <w:r>
        <w:rPr>
          <w:rFonts w:hint="eastAsia" w:ascii="宋体" w:hAnsi="宋体" w:eastAsia="宋体" w:cs="宋体"/>
          <w:spacing w:val="6"/>
          <w:sz w:val="32"/>
          <w:szCs w:val="32"/>
          <w:lang w:eastAsia="zh" w:bidi="ar"/>
          <w:woUserID w:val="2"/>
        </w:rPr>
        <w:t>5.</w:t>
      </w:r>
      <w:r>
        <w:rPr>
          <w:rFonts w:hint="eastAsia" w:ascii="宋体" w:hAnsi="宋体" w:eastAsia="宋体" w:cs="宋体"/>
          <w:spacing w:val="6"/>
          <w:sz w:val="32"/>
          <w:szCs w:val="32"/>
          <w:lang w:val="en-US" w:eastAsia="zh-CN" w:bidi="ar"/>
          <w:woUserID w:val="2"/>
        </w:rPr>
        <w:t>6</w:t>
      </w:r>
      <w:r>
        <w:rPr>
          <w:rFonts w:hint="eastAsia" w:ascii="宋体" w:hAnsi="宋体" w:eastAsia="宋体" w:cs="宋体"/>
          <w:spacing w:val="6"/>
          <w:sz w:val="32"/>
          <w:szCs w:val="32"/>
          <w:lang w:bidi="ar"/>
          <w:woUserID w:val="2"/>
        </w:rPr>
        <w:t>.</w:t>
      </w:r>
      <w:r>
        <w:rPr>
          <w:rFonts w:hint="eastAsia" w:ascii="宋体" w:hAnsi="宋体" w:eastAsia="宋体" w:cs="宋体"/>
          <w:spacing w:val="6"/>
          <w:sz w:val="32"/>
          <w:szCs w:val="32"/>
          <w:lang w:val="en-US" w:eastAsia="zh-CN" w:bidi="ar"/>
          <w:woUserID w:val="2"/>
        </w:rPr>
        <w:t>5</w:t>
      </w:r>
      <w:r>
        <w:rPr>
          <w:rFonts w:hint="eastAsia" w:ascii="宋体" w:hAnsi="宋体" w:eastAsia="宋体" w:cs="宋体"/>
          <w:spacing w:val="6"/>
          <w:sz w:val="32"/>
          <w:szCs w:val="32"/>
          <w:lang w:bidi="ar"/>
          <w:woUserID w:val="2"/>
        </w:rPr>
        <w:t xml:space="preserve"> 住宅小区</w:t>
      </w:r>
      <w:r>
        <w:rPr>
          <w:rFonts w:hint="eastAsia" w:ascii="宋体" w:hAnsi="宋体" w:eastAsia="宋体" w:cs="宋体"/>
          <w:spacing w:val="6"/>
          <w:sz w:val="32"/>
          <w:szCs w:val="32"/>
          <w:lang w:val="en-US" w:eastAsia="zh-CN" w:bidi="ar"/>
          <w:woUserID w:val="2"/>
        </w:rPr>
        <w:t>预装式变电站</w:t>
      </w:r>
      <w:r>
        <w:rPr>
          <w:rFonts w:hint="eastAsia" w:ascii="宋体" w:hAnsi="宋体" w:eastAsia="宋体" w:cs="宋体"/>
          <w:spacing w:val="6"/>
          <w:sz w:val="32"/>
          <w:szCs w:val="32"/>
          <w:lang w:bidi="ar"/>
          <w:woUserID w:val="2"/>
        </w:rPr>
        <w:t>的选型，需根据其户数规模进行差异化配置</w:t>
      </w:r>
      <w:r>
        <w:rPr>
          <w:rFonts w:hint="eastAsia" w:ascii="宋体" w:hAnsi="宋体" w:eastAsia="宋体" w:cs="宋体"/>
          <w:spacing w:val="6"/>
          <w:sz w:val="32"/>
          <w:szCs w:val="32"/>
          <w:lang w:eastAsia="zh-CN" w:bidi="ar"/>
          <w:woUserID w:val="2"/>
        </w:rPr>
        <w:t>。</w:t>
      </w:r>
    </w:p>
    <w:p w14:paraId="14D9203D">
      <w:pPr>
        <w:widowControl/>
        <w:spacing w:line="560" w:lineRule="exact"/>
        <w:jc w:val="center"/>
        <w:rPr>
          <w:rFonts w:hint="eastAsia" w:ascii="宋体" w:hAnsi="宋体" w:eastAsia="宋体" w:cs="宋体"/>
          <w:spacing w:val="6"/>
          <w:sz w:val="24"/>
          <w:szCs w:val="24"/>
          <w:highlight w:val="yellow"/>
          <w:lang w:val="en-US" w:eastAsia="zh-CN" w:bidi="ar"/>
          <w:woUserID w:val="2"/>
        </w:rPr>
      </w:pPr>
      <w:r>
        <w:rPr>
          <w:rFonts w:hint="eastAsia" w:ascii="宋体" w:hAnsi="宋体" w:eastAsia="宋体" w:cs="宋体"/>
          <w:spacing w:val="6"/>
          <w:sz w:val="24"/>
          <w:szCs w:val="24"/>
          <w:lang w:val="en-US" w:eastAsia="zh-CN" w:bidi="ar"/>
          <w:woUserID w:val="2"/>
        </w:rPr>
        <w:t>表</w:t>
      </w:r>
      <w:r>
        <w:rPr>
          <w:rFonts w:hint="eastAsia" w:ascii="宋体" w:hAnsi="宋体" w:eastAsia="宋体" w:cs="宋体"/>
          <w:spacing w:val="6"/>
          <w:sz w:val="24"/>
          <w:szCs w:val="24"/>
          <w:lang w:val="en-US" w:eastAsia="zh" w:bidi="ar"/>
          <w:woUserID w:val="2"/>
        </w:rPr>
        <w:t>5.</w:t>
      </w:r>
      <w:r>
        <w:rPr>
          <w:rFonts w:hint="eastAsia" w:ascii="宋体" w:hAnsi="宋体" w:eastAsia="宋体" w:cs="宋体"/>
          <w:spacing w:val="6"/>
          <w:sz w:val="24"/>
          <w:szCs w:val="24"/>
          <w:lang w:val="en-US" w:eastAsia="zh-CN" w:bidi="ar"/>
          <w:woUserID w:val="2"/>
        </w:rPr>
        <w:t>6</w:t>
      </w:r>
      <w:r>
        <w:rPr>
          <w:rFonts w:hint="eastAsia" w:ascii="宋体" w:hAnsi="宋体" w:eastAsia="宋体" w:cs="宋体"/>
          <w:spacing w:val="6"/>
          <w:sz w:val="24"/>
          <w:szCs w:val="24"/>
          <w:lang w:val="en-US" w:eastAsia="zh" w:bidi="ar"/>
          <w:woUserID w:val="2"/>
        </w:rPr>
        <w:t>.5</w:t>
      </w:r>
      <w:r>
        <w:rPr>
          <w:rFonts w:hint="eastAsia" w:ascii="宋体" w:hAnsi="宋体" w:eastAsia="宋体" w:cs="宋体"/>
          <w:spacing w:val="6"/>
          <w:sz w:val="24"/>
          <w:szCs w:val="24"/>
          <w:lang w:val="en-US" w:eastAsia="zh-CN" w:bidi="ar"/>
          <w:woUserID w:val="2"/>
        </w:rPr>
        <w:t xml:space="preserve"> 住宅小区预装式变电站差异化配置表</w:t>
      </w:r>
    </w:p>
    <w:tbl>
      <w:tblPr>
        <w:tblStyle w:val="10"/>
        <w:tblW w:w="83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9"/>
        <w:gridCol w:w="1611"/>
        <w:gridCol w:w="2256"/>
        <w:gridCol w:w="1888"/>
        <w:gridCol w:w="1854"/>
      </w:tblGrid>
      <w:tr w14:paraId="24D27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AF0D">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设备类型</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08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woUserID w:val="2"/>
              </w:rPr>
            </w:pPr>
            <w:r>
              <w:rPr>
                <w:rFonts w:hint="eastAsia" w:ascii="宋体" w:hAnsi="宋体" w:eastAsia="宋体" w:cs="宋体"/>
                <w:i w:val="0"/>
                <w:iCs w:val="0"/>
                <w:color w:val="000000"/>
                <w:kern w:val="0"/>
                <w:sz w:val="24"/>
                <w:szCs w:val="24"/>
                <w:u w:val="none"/>
                <w:lang w:val="en-US" w:eastAsia="zh-CN" w:bidi="ar"/>
                <w:woUserID w:val="2"/>
              </w:rPr>
              <w:t>设备选型</w:t>
            </w:r>
          </w:p>
          <w:p w14:paraId="4A2A0FBE">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参数</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F6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woUserID w:val="2"/>
              </w:rPr>
            </w:pPr>
            <w:r>
              <w:rPr>
                <w:rFonts w:hint="eastAsia" w:ascii="宋体" w:hAnsi="宋体" w:eastAsia="宋体" w:cs="宋体"/>
                <w:i w:val="0"/>
                <w:iCs w:val="0"/>
                <w:color w:val="000000"/>
                <w:kern w:val="0"/>
                <w:sz w:val="24"/>
                <w:szCs w:val="24"/>
                <w:u w:val="none"/>
                <w:lang w:val="en-US" w:eastAsia="zh-CN" w:bidi="ar"/>
                <w:woUserID w:val="2"/>
              </w:rPr>
              <w:t>小型小区</w:t>
            </w:r>
          </w:p>
          <w:p w14:paraId="6A6A73A1">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 xml:space="preserve"> (≤500户)</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13F5">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中型小区 (500~1500户)</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CE60">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大型/高端小区 (≥1500户)</w:t>
            </w:r>
          </w:p>
        </w:tc>
      </w:tr>
      <w:tr w14:paraId="414B5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0963A">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箱变</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7D97">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变压器</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46E8">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二级能效及以上</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45DE">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一级能效</w:t>
            </w:r>
          </w:p>
        </w:tc>
        <w:tc>
          <w:tcPr>
            <w:tcW w:w="1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E7465">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采用配电房</w:t>
            </w:r>
          </w:p>
        </w:tc>
      </w:tr>
      <w:tr w14:paraId="3D224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46A0C">
            <w:pPr>
              <w:jc w:val="center"/>
              <w:rPr>
                <w:rFonts w:hint="eastAsia" w:ascii="宋体" w:hAnsi="宋体" w:eastAsia="宋体" w:cs="宋体"/>
                <w:i w:val="0"/>
                <w:iCs w:val="0"/>
                <w:color w:val="000000"/>
                <w:sz w:val="24"/>
                <w:szCs w:val="24"/>
                <w:u w:val="none"/>
                <w:woUserID w:val="2"/>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1262">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高压单元</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1E0D">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空气型</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C1AE">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环保气体/固体绝缘</w:t>
            </w:r>
          </w:p>
        </w:tc>
        <w:tc>
          <w:tcPr>
            <w:tcW w:w="1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4A968">
            <w:pPr>
              <w:jc w:val="center"/>
              <w:rPr>
                <w:rFonts w:hint="eastAsia" w:ascii="宋体" w:hAnsi="宋体" w:eastAsia="宋体" w:cs="宋体"/>
                <w:i w:val="0"/>
                <w:iCs w:val="0"/>
                <w:color w:val="000000"/>
                <w:sz w:val="24"/>
                <w:szCs w:val="24"/>
                <w:u w:val="none"/>
                <w:woUserID w:val="2"/>
              </w:rPr>
            </w:pPr>
          </w:p>
        </w:tc>
      </w:tr>
      <w:tr w14:paraId="2B1DF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1D5B0">
            <w:pPr>
              <w:jc w:val="center"/>
              <w:rPr>
                <w:rFonts w:hint="eastAsia" w:ascii="宋体" w:hAnsi="宋体" w:eastAsia="宋体" w:cs="宋体"/>
                <w:i w:val="0"/>
                <w:iCs w:val="0"/>
                <w:color w:val="000000"/>
                <w:sz w:val="24"/>
                <w:szCs w:val="24"/>
                <w:u w:val="none"/>
                <w:woUserID w:val="2"/>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8F4D">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低压单元</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8117">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固定柜</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448B">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抽屉柜</w:t>
            </w:r>
          </w:p>
        </w:tc>
        <w:tc>
          <w:tcPr>
            <w:tcW w:w="1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E9EBA">
            <w:pPr>
              <w:jc w:val="center"/>
              <w:rPr>
                <w:rFonts w:hint="eastAsia" w:ascii="宋体" w:hAnsi="宋体" w:eastAsia="宋体" w:cs="宋体"/>
                <w:i w:val="0"/>
                <w:iCs w:val="0"/>
                <w:color w:val="000000"/>
                <w:sz w:val="24"/>
                <w:szCs w:val="24"/>
                <w:u w:val="none"/>
                <w:woUserID w:val="2"/>
              </w:rPr>
            </w:pPr>
          </w:p>
        </w:tc>
      </w:tr>
      <w:tr w14:paraId="21DE4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13003">
            <w:pPr>
              <w:jc w:val="center"/>
              <w:rPr>
                <w:rFonts w:hint="eastAsia" w:ascii="宋体" w:hAnsi="宋体" w:eastAsia="宋体" w:cs="宋体"/>
                <w:i w:val="0"/>
                <w:iCs w:val="0"/>
                <w:color w:val="000000"/>
                <w:sz w:val="24"/>
                <w:szCs w:val="24"/>
                <w:u w:val="none"/>
                <w:woUserID w:val="2"/>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2253">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无功补偿</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D3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woUserID w:val="2"/>
              </w:rPr>
            </w:pPr>
            <w:r>
              <w:rPr>
                <w:rFonts w:hint="eastAsia" w:ascii="宋体" w:hAnsi="宋体" w:eastAsia="宋体" w:cs="宋体"/>
                <w:i w:val="0"/>
                <w:iCs w:val="0"/>
                <w:color w:val="000000"/>
                <w:kern w:val="0"/>
                <w:sz w:val="24"/>
                <w:szCs w:val="24"/>
                <w:u w:val="none"/>
                <w:lang w:val="en-US" w:eastAsia="zh-CN" w:bidi="ar"/>
                <w:woUserID w:val="2"/>
              </w:rPr>
              <w:t>智能型无功补偿</w:t>
            </w:r>
          </w:p>
          <w:p w14:paraId="46C4CA97">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装置</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D56A">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静止无功发生器（SVG）、有源滤波</w:t>
            </w:r>
          </w:p>
        </w:tc>
        <w:tc>
          <w:tcPr>
            <w:tcW w:w="1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E1642">
            <w:pPr>
              <w:jc w:val="center"/>
              <w:rPr>
                <w:rFonts w:hint="eastAsia" w:ascii="宋体" w:hAnsi="宋体" w:eastAsia="宋体" w:cs="宋体"/>
                <w:i w:val="0"/>
                <w:iCs w:val="0"/>
                <w:color w:val="000000"/>
                <w:sz w:val="24"/>
                <w:szCs w:val="24"/>
                <w:u w:val="none"/>
                <w:woUserID w:val="2"/>
              </w:rPr>
            </w:pPr>
          </w:p>
        </w:tc>
      </w:tr>
      <w:tr w14:paraId="5D733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F12BF">
            <w:pPr>
              <w:jc w:val="center"/>
              <w:rPr>
                <w:rFonts w:hint="eastAsia" w:ascii="宋体" w:hAnsi="宋体" w:eastAsia="宋体" w:cs="宋体"/>
                <w:i w:val="0"/>
                <w:iCs w:val="0"/>
                <w:color w:val="000000"/>
                <w:sz w:val="24"/>
                <w:szCs w:val="24"/>
                <w:u w:val="none"/>
                <w:woUserID w:val="2"/>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67B1">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配网自动化</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BF26">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基本告警，预留智能监控单元安装位置</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639A">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智能监控单元</w:t>
            </w:r>
          </w:p>
        </w:tc>
        <w:tc>
          <w:tcPr>
            <w:tcW w:w="1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B1031">
            <w:pPr>
              <w:jc w:val="center"/>
              <w:rPr>
                <w:rFonts w:hint="eastAsia" w:ascii="宋体" w:hAnsi="宋体" w:eastAsia="宋体" w:cs="宋体"/>
                <w:i w:val="0"/>
                <w:iCs w:val="0"/>
                <w:color w:val="000000"/>
                <w:sz w:val="24"/>
                <w:szCs w:val="24"/>
                <w:u w:val="none"/>
                <w:woUserID w:val="2"/>
              </w:rPr>
            </w:pPr>
          </w:p>
        </w:tc>
      </w:tr>
      <w:tr w14:paraId="27372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8318" w:type="dxa"/>
            <w:gridSpan w:val="5"/>
            <w:tcBorders>
              <w:top w:val="nil"/>
              <w:left w:val="nil"/>
              <w:bottom w:val="nil"/>
              <w:right w:val="nil"/>
            </w:tcBorders>
            <w:shd w:val="clear" w:color="auto" w:fill="auto"/>
            <w:vAlign w:val="center"/>
          </w:tcPr>
          <w:p w14:paraId="329D7CC7">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2"/>
              </w:rPr>
            </w:pPr>
            <w:r>
              <w:rPr>
                <w:rFonts w:hint="eastAsia" w:ascii="宋体" w:hAnsi="宋体" w:eastAsia="宋体" w:cs="宋体"/>
                <w:i w:val="0"/>
                <w:iCs w:val="0"/>
                <w:color w:val="000000"/>
                <w:kern w:val="0"/>
                <w:sz w:val="24"/>
                <w:szCs w:val="24"/>
                <w:u w:val="none"/>
                <w:lang w:val="en-US" w:eastAsia="zh-CN" w:bidi="ar"/>
                <w:woUserID w:val="2"/>
              </w:rPr>
              <w:t>备注：低压开关≥630A采用框架式断路器，＜630A采用塑壳断路器</w:t>
            </w:r>
          </w:p>
        </w:tc>
      </w:tr>
    </w:tbl>
    <w:p w14:paraId="789E6CAD">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2"/>
        </w:rPr>
      </w:pPr>
      <w:r>
        <w:rPr>
          <w:rFonts w:hint="eastAsia" w:ascii="宋体" w:hAnsi="宋体" w:eastAsia="宋体" w:cs="宋体"/>
          <w:b/>
          <w:bCs/>
          <w:color w:val="000000"/>
          <w:spacing w:val="-6"/>
          <w:kern w:val="0"/>
          <w:sz w:val="32"/>
          <w:szCs w:val="32"/>
          <w:lang w:eastAsia="zh" w:bidi="ar"/>
          <w:woUserID w:val="2"/>
        </w:rPr>
        <w:t>5.</w:t>
      </w:r>
      <w:r>
        <w:rPr>
          <w:rFonts w:hint="eastAsia" w:ascii="宋体" w:hAnsi="宋体" w:eastAsia="宋体" w:cs="宋体"/>
          <w:b/>
          <w:bCs/>
          <w:color w:val="000000"/>
          <w:spacing w:val="-6"/>
          <w:kern w:val="0"/>
          <w:sz w:val="32"/>
          <w:szCs w:val="32"/>
          <w:lang w:val="en-US" w:eastAsia="zh-CN" w:bidi="ar"/>
          <w:woUserID w:val="2"/>
        </w:rPr>
        <w:t>7</w:t>
      </w:r>
      <w:r>
        <w:rPr>
          <w:rFonts w:hint="eastAsia" w:ascii="宋体" w:hAnsi="宋体" w:eastAsia="宋体" w:cs="宋体"/>
          <w:b/>
          <w:bCs/>
          <w:color w:val="000000"/>
          <w:spacing w:val="-6"/>
          <w:kern w:val="0"/>
          <w:sz w:val="32"/>
          <w:szCs w:val="32"/>
          <w:lang w:eastAsia="zh" w:bidi="ar"/>
          <w:woUserID w:val="2"/>
        </w:rPr>
        <w:t xml:space="preserve"> 直流电源</w:t>
      </w:r>
    </w:p>
    <w:p w14:paraId="43CB089A">
      <w:pPr>
        <w:pStyle w:val="8"/>
        <w:widowControl/>
        <w:spacing w:beforeAutospacing="0" w:afterAutospacing="0" w:line="560" w:lineRule="exact"/>
        <w:jc w:val="both"/>
        <w:rPr>
          <w:rFonts w:hint="eastAsia" w:ascii="宋体" w:hAnsi="宋体" w:eastAsia="宋体" w:cs="宋体"/>
          <w:spacing w:val="6"/>
          <w:kern w:val="2"/>
          <w:sz w:val="32"/>
          <w:szCs w:val="32"/>
          <w:lang w:eastAsia="zh" w:bidi="ar"/>
          <w:woUserID w:val="2"/>
        </w:rPr>
      </w:pPr>
      <w:r>
        <w:rPr>
          <w:rFonts w:hint="eastAsia" w:ascii="宋体" w:hAnsi="宋体" w:eastAsia="宋体" w:cs="宋体"/>
          <w:spacing w:val="6"/>
          <w:kern w:val="2"/>
          <w:sz w:val="32"/>
          <w:szCs w:val="32"/>
          <w:lang w:eastAsia="zh" w:bidi="ar"/>
          <w:woUserID w:val="2"/>
        </w:rPr>
        <w:t>5.</w:t>
      </w:r>
      <w:r>
        <w:rPr>
          <w:rFonts w:hint="eastAsia" w:ascii="宋体" w:hAnsi="宋体" w:eastAsia="宋体" w:cs="宋体"/>
          <w:spacing w:val="6"/>
          <w:kern w:val="2"/>
          <w:sz w:val="32"/>
          <w:szCs w:val="32"/>
          <w:lang w:val="en-US" w:eastAsia="zh-CN" w:bidi="ar"/>
          <w:woUserID w:val="2"/>
        </w:rPr>
        <w:t>7</w:t>
      </w:r>
      <w:r>
        <w:rPr>
          <w:rFonts w:hint="eastAsia" w:ascii="宋体" w:hAnsi="宋体" w:eastAsia="宋体" w:cs="宋体"/>
          <w:spacing w:val="6"/>
          <w:kern w:val="2"/>
          <w:sz w:val="32"/>
          <w:szCs w:val="32"/>
          <w:lang w:eastAsia="zh" w:bidi="ar"/>
          <w:woUserID w:val="2"/>
        </w:rPr>
        <w:t>.1 配电所、变电所采用弹簧储能操动机构的断路器时，宜采用110V蓄电池组作为合、分闸操作电源；当采用永磁操动机构或电磁操动机构时，宜采用220V蓄电池组作为合、分闸操作电源。</w:t>
      </w:r>
    </w:p>
    <w:p w14:paraId="319BD078">
      <w:pPr>
        <w:widowControl/>
        <w:spacing w:line="560" w:lineRule="exact"/>
        <w:rPr>
          <w:rFonts w:hint="eastAsia" w:ascii="宋体" w:hAnsi="宋体" w:eastAsia="宋体" w:cs="宋体"/>
          <w:spacing w:val="6"/>
          <w:sz w:val="32"/>
          <w:szCs w:val="32"/>
          <w:lang w:bidi="ar"/>
          <w:woUserID w:val="2"/>
        </w:rPr>
      </w:pPr>
      <w:r>
        <w:rPr>
          <w:rFonts w:hint="eastAsia" w:ascii="宋体" w:hAnsi="宋体" w:eastAsia="宋体" w:cs="宋体"/>
          <w:spacing w:val="6"/>
          <w:sz w:val="32"/>
          <w:szCs w:val="32"/>
          <w:lang w:eastAsia="zh" w:bidi="ar"/>
          <w:woUserID w:val="2"/>
        </w:rPr>
        <w:t>5.</w:t>
      </w:r>
      <w:r>
        <w:rPr>
          <w:rFonts w:hint="eastAsia" w:ascii="宋体" w:hAnsi="宋体" w:eastAsia="宋体" w:cs="宋体"/>
          <w:spacing w:val="6"/>
          <w:sz w:val="32"/>
          <w:szCs w:val="32"/>
          <w:lang w:val="en-US" w:eastAsia="zh-CN" w:bidi="ar"/>
          <w:woUserID w:val="2"/>
        </w:rPr>
        <w:t>7</w:t>
      </w:r>
      <w:r>
        <w:rPr>
          <w:rFonts w:hint="eastAsia" w:ascii="宋体" w:hAnsi="宋体" w:eastAsia="宋体" w:cs="宋体"/>
          <w:spacing w:val="6"/>
          <w:sz w:val="32"/>
          <w:szCs w:val="32"/>
          <w:lang w:eastAsia="zh" w:bidi="ar"/>
          <w:woUserID w:val="2"/>
        </w:rPr>
        <w:t xml:space="preserve">.2 </w:t>
      </w:r>
      <w:r>
        <w:rPr>
          <w:rFonts w:hint="eastAsia" w:ascii="宋体" w:hAnsi="宋体" w:eastAsia="宋体" w:cs="宋体"/>
          <w:spacing w:val="6"/>
          <w:sz w:val="32"/>
          <w:szCs w:val="32"/>
          <w:lang w:bidi="ar"/>
          <w:woUserID w:val="2"/>
        </w:rPr>
        <w:t>住宅小区供配电设施内的直流电源系统应</w:t>
      </w:r>
      <w:r>
        <w:rPr>
          <w:rFonts w:hint="eastAsia" w:ascii="宋体" w:hAnsi="宋体" w:eastAsia="宋体" w:cs="宋体"/>
          <w:spacing w:val="6"/>
          <w:sz w:val="32"/>
          <w:szCs w:val="32"/>
          <w:lang w:val="en-US" w:eastAsia="zh-CN" w:bidi="ar"/>
          <w:woUserID w:val="2"/>
        </w:rPr>
        <w:t>具备通讯功能，并</w:t>
      </w:r>
      <w:r>
        <w:rPr>
          <w:rFonts w:hint="eastAsia" w:ascii="宋体" w:hAnsi="宋体" w:eastAsia="宋体" w:cs="宋体"/>
          <w:spacing w:val="6"/>
          <w:sz w:val="32"/>
          <w:szCs w:val="32"/>
          <w:lang w:bidi="ar"/>
          <w:woUserID w:val="2"/>
        </w:rPr>
        <w:t>结合配电自动化规划同步建设。</w:t>
      </w:r>
    </w:p>
    <w:p w14:paraId="7D8EB764">
      <w:pPr>
        <w:widowControl/>
        <w:spacing w:line="560" w:lineRule="exact"/>
        <w:rPr>
          <w:rFonts w:hint="eastAsia" w:ascii="宋体" w:hAnsi="宋体" w:eastAsia="宋体" w:cs="宋体"/>
          <w:spacing w:val="6"/>
          <w:sz w:val="32"/>
          <w:szCs w:val="32"/>
          <w:lang w:eastAsia="zh" w:bidi="ar"/>
          <w:woUserID w:val="2"/>
        </w:rPr>
      </w:pPr>
      <w:r>
        <w:rPr>
          <w:rFonts w:hint="eastAsia" w:ascii="宋体" w:hAnsi="宋体" w:eastAsia="宋体" w:cs="宋体"/>
          <w:spacing w:val="6"/>
          <w:sz w:val="32"/>
          <w:szCs w:val="32"/>
          <w:lang w:eastAsia="zh" w:bidi="ar"/>
          <w:woUserID w:val="2"/>
        </w:rPr>
        <w:t>5.</w:t>
      </w:r>
      <w:r>
        <w:rPr>
          <w:rFonts w:hint="eastAsia" w:ascii="宋体" w:hAnsi="宋体" w:eastAsia="宋体" w:cs="宋体"/>
          <w:spacing w:val="6"/>
          <w:sz w:val="32"/>
          <w:szCs w:val="32"/>
          <w:lang w:val="en-US" w:eastAsia="zh-CN" w:bidi="ar"/>
          <w:woUserID w:val="2"/>
        </w:rPr>
        <w:t>7</w:t>
      </w:r>
      <w:r>
        <w:rPr>
          <w:rFonts w:hint="eastAsia" w:ascii="宋体" w:hAnsi="宋体" w:eastAsia="宋体" w:cs="宋体"/>
          <w:spacing w:val="6"/>
          <w:sz w:val="32"/>
          <w:szCs w:val="32"/>
          <w:lang w:eastAsia="zh" w:bidi="ar"/>
          <w:woUserID w:val="2"/>
        </w:rPr>
        <w:t>.3</w:t>
      </w:r>
      <w:r>
        <w:rPr>
          <w:rFonts w:hint="eastAsia" w:ascii="宋体" w:hAnsi="宋体" w:eastAsia="宋体" w:cs="宋体"/>
          <w:spacing w:val="6"/>
          <w:sz w:val="32"/>
          <w:szCs w:val="32"/>
          <w:lang w:bidi="ar"/>
          <w:woUserID w:val="2"/>
        </w:rPr>
        <w:t xml:space="preserve"> </w:t>
      </w:r>
      <w:r>
        <w:rPr>
          <w:rFonts w:hint="eastAsia" w:ascii="宋体" w:hAnsi="宋体" w:eastAsia="宋体" w:cs="宋体"/>
          <w:spacing w:val="6"/>
          <w:sz w:val="32"/>
          <w:szCs w:val="32"/>
          <w:lang w:eastAsia="zh" w:bidi="ar"/>
          <w:woUserID w:val="2"/>
        </w:rPr>
        <w:t>变电所</w:t>
      </w:r>
      <w:r>
        <w:rPr>
          <w:rFonts w:hint="eastAsia" w:ascii="宋体" w:hAnsi="宋体" w:eastAsia="宋体" w:cs="宋体"/>
          <w:spacing w:val="6"/>
          <w:sz w:val="32"/>
          <w:szCs w:val="32"/>
          <w:lang w:bidi="ar"/>
          <w:woUserID w:val="2"/>
        </w:rPr>
        <w:t>内的直流电源系统采用组柜安装的直流电源成套装置，充电装置按N+1备份配置，蓄电池容量按全站停电4h考虑。输入电压 AC220V，输出电压 DC110V/DC24V、DC48/DC24V，两回交流进线并应具有自动切换功能</w:t>
      </w:r>
      <w:r>
        <w:rPr>
          <w:rFonts w:hint="eastAsia" w:ascii="宋体" w:hAnsi="宋体" w:eastAsia="宋体" w:cs="宋体"/>
          <w:spacing w:val="6"/>
          <w:sz w:val="32"/>
          <w:szCs w:val="32"/>
          <w:lang w:eastAsia="zh" w:bidi="ar"/>
          <w:woUserID w:val="2"/>
        </w:rPr>
        <w:t>。</w:t>
      </w:r>
    </w:p>
    <w:p w14:paraId="5874778F">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171EC1A2">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590DF070">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4005B77A">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29389444">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62FCF7EE">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56B9E8F0">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59255F23">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41E39F50">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5CEB0C4D">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239A1909">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0054B8CB">
      <w:pPr>
        <w:pStyle w:val="8"/>
        <w:widowControl/>
        <w:spacing w:beforeAutospacing="0" w:afterAutospacing="0" w:line="560" w:lineRule="exact"/>
        <w:jc w:val="both"/>
        <w:rPr>
          <w:rFonts w:hint="eastAsia" w:ascii="仿宋" w:hAnsi="仿宋" w:eastAsia="仿宋" w:cs="仿宋"/>
          <w:spacing w:val="6"/>
          <w:kern w:val="2"/>
          <w:sz w:val="32"/>
          <w:szCs w:val="32"/>
          <w:highlight w:val="none"/>
          <w:u w:val="single"/>
          <w:lang w:val="en-US" w:eastAsia="zh" w:bidi="ar"/>
          <w:woUserID w:val="2"/>
        </w:rPr>
      </w:pPr>
    </w:p>
    <w:p w14:paraId="337BEE6B">
      <w:pPr>
        <w:rPr>
          <w:rFonts w:hint="eastAsia" w:ascii="宋体" w:hAnsi="宋体" w:eastAsia="宋体" w:cs="宋体"/>
          <w:b/>
          <w:bCs/>
          <w:color w:val="000000"/>
          <w:spacing w:val="-6"/>
          <w:kern w:val="0"/>
          <w:sz w:val="32"/>
          <w:szCs w:val="32"/>
          <w:lang w:eastAsia="zh" w:bidi="ar"/>
          <w:woUserID w:val="2"/>
        </w:rPr>
      </w:pPr>
      <w:r>
        <w:rPr>
          <w:rFonts w:hint="eastAsia" w:ascii="宋体" w:hAnsi="宋体" w:eastAsia="宋体" w:cs="宋体"/>
          <w:b/>
          <w:bCs/>
          <w:color w:val="000000"/>
          <w:spacing w:val="-6"/>
          <w:kern w:val="0"/>
          <w:sz w:val="32"/>
          <w:szCs w:val="32"/>
          <w:lang w:eastAsia="zh" w:bidi="ar"/>
          <w:woUserID w:val="2"/>
        </w:rPr>
        <w:br w:type="page"/>
      </w:r>
    </w:p>
    <w:p w14:paraId="5D5B9FD9">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eastAsia="zh" w:bidi="ar"/>
          <w:woUserID w:val="2"/>
        </w:rPr>
        <w:t xml:space="preserve"> </w:t>
      </w:r>
      <w:bookmarkStart w:id="5" w:name="_Toc18818"/>
      <w:r>
        <w:rPr>
          <w:rFonts w:hint="eastAsia" w:ascii="宋体" w:hAnsi="宋体" w:eastAsia="宋体" w:cs="宋体"/>
          <w:b/>
          <w:bCs/>
          <w:color w:val="000000"/>
          <w:spacing w:val="-6"/>
          <w:kern w:val="0"/>
          <w:sz w:val="32"/>
          <w:szCs w:val="32"/>
          <w:lang w:bidi="ar"/>
        </w:rPr>
        <w:t>6 低压配电</w:t>
      </w:r>
      <w:bookmarkEnd w:id="5"/>
    </w:p>
    <w:p w14:paraId="5B4C5A49">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rPr>
      </w:pPr>
      <w:r>
        <w:rPr>
          <w:rFonts w:hint="eastAsia" w:ascii="宋体" w:hAnsi="宋体" w:eastAsia="宋体" w:cs="宋体"/>
          <w:b/>
          <w:bCs/>
          <w:color w:val="000000"/>
          <w:spacing w:val="-6"/>
          <w:kern w:val="0"/>
          <w:sz w:val="32"/>
          <w:szCs w:val="32"/>
          <w:lang w:bidi="ar"/>
        </w:rPr>
        <w:t>6.1 一般规定</w:t>
      </w:r>
    </w:p>
    <w:p w14:paraId="035AA6B6">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6.1.1 住宅建筑低压配电系统的设计应根据住宅建筑的分类、规模、供电负荷性质、</w:t>
      </w:r>
      <w:r>
        <w:rPr>
          <w:rFonts w:hint="eastAsia" w:ascii="宋体" w:hAnsi="宋体" w:eastAsia="宋体" w:cs="宋体"/>
          <w:spacing w:val="6"/>
          <w:sz w:val="32"/>
          <w:szCs w:val="32"/>
          <w:highlight w:val="none"/>
          <w:lang w:bidi="ar"/>
        </w:rPr>
        <w:t>容量、</w:t>
      </w:r>
      <w:r>
        <w:rPr>
          <w:rFonts w:hint="eastAsia" w:ascii="宋体" w:hAnsi="宋体" w:eastAsia="宋体" w:cs="宋体"/>
          <w:spacing w:val="6"/>
          <w:sz w:val="32"/>
          <w:szCs w:val="32"/>
          <w:highlight w:val="none"/>
          <w:lang w:val="en-US" w:eastAsia="zh-CN" w:bidi="ar"/>
        </w:rPr>
        <w:t>电价计量方式</w:t>
      </w:r>
      <w:r>
        <w:rPr>
          <w:rFonts w:hint="eastAsia" w:ascii="宋体" w:hAnsi="宋体" w:eastAsia="宋体" w:cs="宋体"/>
          <w:spacing w:val="6"/>
          <w:sz w:val="32"/>
          <w:szCs w:val="32"/>
          <w:highlight w:val="none"/>
          <w:lang w:bidi="ar"/>
        </w:rPr>
        <w:t>、物业管理及</w:t>
      </w:r>
      <w:r>
        <w:rPr>
          <w:rFonts w:hint="eastAsia" w:ascii="宋体" w:hAnsi="宋体" w:eastAsia="宋体" w:cs="宋体"/>
          <w:spacing w:val="6"/>
          <w:sz w:val="32"/>
          <w:szCs w:val="32"/>
          <w:highlight w:val="none"/>
          <w:lang w:val="en-US" w:eastAsia="zh-CN" w:bidi="ar"/>
        </w:rPr>
        <w:t>远期扩容需求</w:t>
      </w:r>
      <w:r>
        <w:rPr>
          <w:rFonts w:hint="eastAsia" w:ascii="宋体" w:hAnsi="宋体" w:eastAsia="宋体" w:cs="宋体"/>
          <w:spacing w:val="6"/>
          <w:sz w:val="32"/>
          <w:szCs w:val="32"/>
          <w:highlight w:val="none"/>
          <w:lang w:bidi="ar"/>
        </w:rPr>
        <w:t>等因素综合确定。</w:t>
      </w:r>
    </w:p>
    <w:p w14:paraId="37C09224">
      <w:pPr>
        <w:pStyle w:val="8"/>
        <w:widowControl/>
        <w:spacing w:beforeAutospacing="0" w:afterAutospacing="0" w:line="560" w:lineRule="exact"/>
        <w:jc w:val="both"/>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6.1.</w:t>
      </w: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bidi="ar"/>
        </w:rPr>
        <w:t xml:space="preserve"> 住宅建筑低压配电设计应符合国家现行标准《低压配电设计规范》GB50054</w:t>
      </w:r>
      <w:r>
        <w:rPr>
          <w:rFonts w:hint="eastAsia" w:ascii="宋体" w:hAnsi="宋体" w:eastAsia="宋体" w:cs="宋体"/>
          <w:spacing w:val="6"/>
          <w:sz w:val="32"/>
          <w:szCs w:val="32"/>
          <w:lang w:val="en-US" w:eastAsia="zh-CN" w:bidi="ar"/>
        </w:rPr>
        <w:t xml:space="preserve"> 、</w:t>
      </w:r>
      <w:r>
        <w:rPr>
          <w:rFonts w:hint="eastAsia" w:ascii="宋体" w:hAnsi="宋体" w:eastAsia="宋体" w:cs="宋体"/>
          <w:spacing w:val="6"/>
          <w:sz w:val="32"/>
          <w:szCs w:val="32"/>
          <w:lang w:bidi="ar"/>
        </w:rPr>
        <w:t>《民用建筑电气设计规范》</w:t>
      </w:r>
      <w:r>
        <w:rPr>
          <w:rFonts w:hint="eastAsia" w:ascii="宋体" w:hAnsi="宋体" w:eastAsia="宋体" w:cs="宋体"/>
          <w:spacing w:val="6"/>
          <w:sz w:val="32"/>
          <w:szCs w:val="32"/>
          <w:lang w:val="en-US" w:eastAsia="zh" w:bidi="ar"/>
        </w:rPr>
        <w:t>GB 51348</w:t>
      </w:r>
      <w:r>
        <w:rPr>
          <w:rFonts w:hint="eastAsia" w:ascii="宋体" w:hAnsi="宋体" w:eastAsia="宋体" w:cs="宋体"/>
          <w:spacing w:val="6"/>
          <w:sz w:val="32"/>
          <w:szCs w:val="32"/>
          <w:lang w:bidi="ar"/>
        </w:rPr>
        <w:t>的有关规定。</w:t>
      </w:r>
    </w:p>
    <w:p w14:paraId="728B3A32">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bidi="ar"/>
        </w:rPr>
        <w:t>6.2 低压配电系统</w:t>
      </w:r>
    </w:p>
    <w:p w14:paraId="1A30E17C">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6.2.1 住宅建筑的照明、电力、消防及其他防灾用电负荷，应分别自成配电系统。</w:t>
      </w:r>
    </w:p>
    <w:p w14:paraId="257A555F">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 xml:space="preserve">6.2.2 </w:t>
      </w:r>
      <w:r>
        <w:rPr>
          <w:rFonts w:hint="eastAsia" w:ascii="宋体" w:hAnsi="宋体" w:eastAsia="宋体" w:cs="宋体"/>
          <w:spacing w:val="6"/>
          <w:sz w:val="32"/>
          <w:szCs w:val="32"/>
          <w:lang w:eastAsia="zh" w:bidi="ar"/>
        </w:rPr>
        <w:t>住宅建筑</w:t>
      </w:r>
      <w:r>
        <w:rPr>
          <w:rFonts w:hint="eastAsia" w:ascii="宋体" w:hAnsi="宋体" w:eastAsia="宋体" w:cs="宋体"/>
          <w:spacing w:val="6"/>
          <w:sz w:val="32"/>
          <w:szCs w:val="32"/>
          <w:lang w:bidi="ar"/>
        </w:rPr>
        <w:t>电源进线处应设置电源进线箱，箱内应设置总保护开关电器。电源进线箱宜设在室内，当设在室外时，箱体的防护等级不应低于IP54。</w:t>
      </w:r>
    </w:p>
    <w:p w14:paraId="72DC31C4">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6.2.3 建筑高度不大于27m的多层民用建筑采用经低压电缆分支箱放射式供电；建筑高度大于27m但不大于54m的二类高层住宅建筑，视用电负荷的具体情况，可采用放射式或树干式向楼层供电；建筑高度大于54m的一类高层住宅建筑</w:t>
      </w:r>
      <w:r>
        <w:rPr>
          <w:rFonts w:hint="eastAsia" w:ascii="宋体" w:hAnsi="宋体" w:eastAsia="宋体" w:cs="宋体"/>
          <w:spacing w:val="6"/>
          <w:sz w:val="32"/>
          <w:szCs w:val="32"/>
          <w:lang w:eastAsia="zh" w:bidi="ar"/>
        </w:rPr>
        <w:t>,</w:t>
      </w:r>
      <w:r>
        <w:rPr>
          <w:rFonts w:hint="eastAsia" w:ascii="宋体" w:hAnsi="宋体" w:eastAsia="宋体" w:cs="宋体"/>
          <w:spacing w:val="6"/>
          <w:sz w:val="32"/>
          <w:szCs w:val="32"/>
          <w:lang w:bidi="ar"/>
        </w:rPr>
        <w:t>宜采用分区树干式供电，向高层住宅建筑供电的垂直干线宜采用插接母线，并根据负荷要求分段供电。</w:t>
      </w:r>
    </w:p>
    <w:p w14:paraId="78C53E93">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6.2.4 每栋住宅建筑应装设带隔离功能的开关电器，各单元或楼层宜装设带隔离功能的开关电器。</w:t>
      </w:r>
    </w:p>
    <w:p w14:paraId="68713B59">
      <w:pPr>
        <w:widowControl/>
        <w:kinsoku w:val="0"/>
        <w:autoSpaceDE w:val="0"/>
        <w:autoSpaceDN w:val="0"/>
        <w:adjustRightInd w:val="0"/>
        <w:snapToGrid w:val="0"/>
        <w:spacing w:line="560" w:lineRule="exact"/>
        <w:ind w:right="85" w:firstLine="3"/>
        <w:textAlignment w:val="baseline"/>
        <w:rPr>
          <w:rStyle w:val="16"/>
          <w:rFonts w:ascii="Calibri" w:hAnsi="Calibri" w:eastAsia="宋体" w:cs="Times New Roman"/>
        </w:rPr>
      </w:pPr>
      <w:r>
        <w:rPr>
          <w:rFonts w:hint="eastAsia" w:ascii="宋体" w:hAnsi="宋体" w:eastAsia="宋体" w:cs="宋体"/>
          <w:spacing w:val="6"/>
          <w:sz w:val="32"/>
          <w:szCs w:val="32"/>
          <w:lang w:bidi="ar"/>
        </w:rPr>
        <w:t>6.2.5 住宅建筑采用三相配电系统时，各相负荷的分配应尽量保持平衡，三相负荷的不平衡度</w:t>
      </w:r>
      <w:r>
        <w:rPr>
          <w:rFonts w:hint="eastAsia" w:ascii="宋体" w:hAnsi="宋体" w:eastAsia="宋体" w:cs="宋体"/>
          <w:spacing w:val="6"/>
          <w:sz w:val="32"/>
          <w:szCs w:val="32"/>
          <w:lang w:val="en-US" w:eastAsia="zh-CN" w:bidi="ar"/>
        </w:rPr>
        <w:t>不宜大于</w:t>
      </w:r>
      <w:r>
        <w:rPr>
          <w:rFonts w:hint="eastAsia" w:ascii="宋体" w:hAnsi="宋体" w:eastAsia="宋体" w:cs="宋体"/>
          <w:spacing w:val="6"/>
          <w:sz w:val="32"/>
          <w:szCs w:val="32"/>
          <w:lang w:bidi="ar"/>
        </w:rPr>
        <w:t>15%。</w:t>
      </w:r>
      <w:r>
        <w:rPr>
          <w:rFonts w:hint="eastAsia" w:ascii="宋体" w:hAnsi="宋体" w:eastAsia="宋体" w:cs="宋体"/>
          <w:spacing w:val="6"/>
          <w:sz w:val="32"/>
          <w:szCs w:val="32"/>
          <w:lang w:val="en-US" w:eastAsia="zh-CN" w:bidi="ar"/>
        </w:rPr>
        <w:t>需</w:t>
      </w:r>
      <w:r>
        <w:rPr>
          <w:rFonts w:hint="eastAsia" w:ascii="宋体" w:hAnsi="宋体" w:eastAsia="宋体" w:cs="宋体"/>
          <w:spacing w:val="6"/>
          <w:sz w:val="32"/>
          <w:szCs w:val="32"/>
          <w:lang w:bidi="ar"/>
        </w:rPr>
        <w:t>编制 《三相负荷分配平衡表》 ，明确列出每一户、每一个配电回路所接入的相别、计算负荷和功率因数</w:t>
      </w:r>
      <w:r>
        <w:rPr>
          <w:rFonts w:hint="default" w:ascii="仿宋" w:hAnsi="仿宋" w:eastAsia="仿宋" w:cs="仿宋"/>
          <w:spacing w:val="6"/>
          <w:sz w:val="32"/>
          <w:szCs w:val="32"/>
          <w:lang w:bidi="ar"/>
        </w:rPr>
        <w:t>。</w:t>
      </w:r>
    </w:p>
    <w:p w14:paraId="152A3AB5">
      <w:pPr>
        <w:widowControl/>
        <w:kinsoku w:val="0"/>
        <w:autoSpaceDE w:val="0"/>
        <w:autoSpaceDN w:val="0"/>
        <w:adjustRightInd w:val="0"/>
        <w:snapToGrid w:val="0"/>
        <w:spacing w:line="560" w:lineRule="exact"/>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6.2.</w:t>
      </w:r>
      <w:r>
        <w:rPr>
          <w:rFonts w:hint="eastAsia" w:ascii="宋体" w:hAnsi="宋体" w:eastAsia="宋体" w:cs="宋体"/>
          <w:spacing w:val="6"/>
          <w:sz w:val="32"/>
          <w:szCs w:val="32"/>
          <w:lang w:eastAsia="zh" w:bidi="ar"/>
        </w:rPr>
        <w:t>6</w:t>
      </w:r>
      <w:r>
        <w:rPr>
          <w:rFonts w:hint="eastAsia" w:ascii="宋体" w:hAnsi="宋体" w:eastAsia="宋体" w:cs="宋体"/>
          <w:spacing w:val="6"/>
          <w:sz w:val="32"/>
          <w:szCs w:val="32"/>
          <w:lang w:bidi="ar"/>
        </w:rPr>
        <w:t xml:space="preserve"> 保护电器单排布置的家居配电箱底边距离地面高度不应小于1.80m,保护电器双排布置的家居配电箱底边距离地面高度不应小于1.60m,家居配电箱的安装位置应便于使用和维修维护。</w:t>
      </w:r>
    </w:p>
    <w:p w14:paraId="1989991C">
      <w:pPr>
        <w:widowControl/>
        <w:kinsoku w:val="0"/>
        <w:autoSpaceDE w:val="0"/>
        <w:autoSpaceDN w:val="0"/>
        <w:adjustRightInd w:val="0"/>
        <w:snapToGrid w:val="0"/>
        <w:spacing w:line="560" w:lineRule="exact"/>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6.2.</w:t>
      </w:r>
      <w:r>
        <w:rPr>
          <w:rFonts w:hint="eastAsia" w:ascii="宋体" w:hAnsi="宋体" w:eastAsia="宋体" w:cs="宋体"/>
          <w:spacing w:val="6"/>
          <w:sz w:val="32"/>
          <w:szCs w:val="32"/>
          <w:lang w:eastAsia="zh" w:bidi="ar"/>
        </w:rPr>
        <w:t>7</w:t>
      </w:r>
      <w:r>
        <w:rPr>
          <w:rFonts w:hint="eastAsia" w:ascii="宋体" w:hAnsi="宋体" w:eastAsia="宋体" w:cs="宋体"/>
          <w:spacing w:val="6"/>
          <w:sz w:val="32"/>
          <w:szCs w:val="32"/>
          <w:lang w:bidi="ar"/>
        </w:rPr>
        <w:t xml:space="preserve"> 家居配电箱的进出电源线应选用铜材质导体，电源进线的横截面面积不应小于10mm²，</w:t>
      </w:r>
      <w:r>
        <w:rPr>
          <w:rFonts w:hint="eastAsia" w:ascii="宋体" w:hAnsi="宋体" w:eastAsia="宋体" w:cs="宋体"/>
          <w:spacing w:val="6"/>
          <w:sz w:val="32"/>
          <w:szCs w:val="32"/>
          <w:lang w:val="en-US" w:eastAsia="zh-CN" w:bidi="ar"/>
        </w:rPr>
        <w:t>并满足用电负荷</w:t>
      </w:r>
      <w:r>
        <w:rPr>
          <w:rFonts w:hint="eastAsia" w:ascii="宋体" w:hAnsi="宋体" w:eastAsia="宋体" w:cs="宋体"/>
          <w:spacing w:val="6"/>
          <w:sz w:val="32"/>
          <w:szCs w:val="32"/>
          <w:lang w:bidi="ar"/>
        </w:rPr>
        <w:t>。</w:t>
      </w:r>
    </w:p>
    <w:p w14:paraId="05E67F91">
      <w:pPr>
        <w:widowControl/>
        <w:kinsoku w:val="0"/>
        <w:autoSpaceDE w:val="0"/>
        <w:autoSpaceDN w:val="0"/>
        <w:adjustRightInd w:val="0"/>
        <w:snapToGrid w:val="0"/>
        <w:spacing w:line="560" w:lineRule="exact"/>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6.2.</w:t>
      </w:r>
      <w:r>
        <w:rPr>
          <w:rFonts w:hint="eastAsia" w:ascii="宋体" w:hAnsi="宋体" w:eastAsia="宋体" w:cs="宋体"/>
          <w:spacing w:val="6"/>
          <w:sz w:val="32"/>
          <w:szCs w:val="32"/>
          <w:lang w:eastAsia="zh" w:bidi="ar"/>
        </w:rPr>
        <w:t>8</w:t>
      </w:r>
      <w:r>
        <w:rPr>
          <w:rFonts w:hint="eastAsia" w:ascii="宋体" w:hAnsi="宋体" w:eastAsia="宋体" w:cs="宋体"/>
          <w:spacing w:val="6"/>
          <w:sz w:val="32"/>
          <w:szCs w:val="32"/>
          <w:lang w:bidi="ar"/>
        </w:rPr>
        <w:t xml:space="preserve"> 住宅照明回路、空调电源插座回路、电热水器等2kW及以上的用电设备回路、厨房内的电源插座回路、其他功能用房的电源插座回路应分别设置。</w:t>
      </w:r>
    </w:p>
    <w:p w14:paraId="31697C56">
      <w:pPr>
        <w:widowControl/>
        <w:kinsoku w:val="0"/>
        <w:autoSpaceDE w:val="0"/>
        <w:autoSpaceDN w:val="0"/>
        <w:adjustRightInd w:val="0"/>
        <w:snapToGrid w:val="0"/>
        <w:spacing w:line="560" w:lineRule="exact"/>
        <w:textAlignment w:val="baseline"/>
        <w:rPr>
          <w:rFonts w:hint="eastAsia" w:ascii="宋体" w:hAnsi="宋体" w:eastAsia="宋体" w:cs="宋体"/>
          <w:spacing w:val="6"/>
          <w:sz w:val="32"/>
          <w:szCs w:val="32"/>
          <w:lang w:eastAsia="zh-CN" w:bidi="ar"/>
        </w:rPr>
      </w:pPr>
      <w:r>
        <w:rPr>
          <w:rFonts w:hint="eastAsia" w:ascii="宋体" w:hAnsi="宋体" w:eastAsia="宋体" w:cs="宋体"/>
          <w:spacing w:val="6"/>
          <w:sz w:val="32"/>
          <w:szCs w:val="32"/>
          <w:lang w:bidi="ar"/>
        </w:rPr>
        <w:t>6.2.</w:t>
      </w:r>
      <w:r>
        <w:rPr>
          <w:rFonts w:hint="eastAsia" w:ascii="宋体" w:hAnsi="宋体" w:eastAsia="宋体" w:cs="宋体"/>
          <w:spacing w:val="6"/>
          <w:sz w:val="32"/>
          <w:szCs w:val="32"/>
          <w:lang w:eastAsia="zh" w:bidi="ar"/>
        </w:rPr>
        <w:t>9</w:t>
      </w:r>
      <w:r>
        <w:rPr>
          <w:rFonts w:hint="eastAsia" w:ascii="宋体" w:hAnsi="宋体" w:eastAsia="宋体" w:cs="宋体"/>
          <w:spacing w:val="6"/>
          <w:sz w:val="32"/>
          <w:szCs w:val="32"/>
          <w:lang w:bidi="ar"/>
        </w:rPr>
        <w:t xml:space="preserve"> 住宅的电源插座均应采用安全型插座，卫生间设置的电源插座尚应加设防止水溅的措施。每套住宅电源插座的设置要求和数量应符合表</w:t>
      </w:r>
      <w:r>
        <w:rPr>
          <w:rFonts w:hint="eastAsia" w:ascii="宋体" w:hAnsi="宋体" w:eastAsia="宋体" w:cs="宋体"/>
          <w:spacing w:val="6"/>
          <w:sz w:val="32"/>
          <w:szCs w:val="32"/>
          <w:lang w:eastAsia="zh" w:bidi="ar"/>
        </w:rPr>
        <w:t>6.2.9</w:t>
      </w:r>
      <w:r>
        <w:rPr>
          <w:rFonts w:hint="eastAsia" w:ascii="宋体" w:hAnsi="宋体" w:eastAsia="宋体" w:cs="宋体"/>
          <w:spacing w:val="6"/>
          <w:sz w:val="32"/>
          <w:szCs w:val="32"/>
          <w:lang w:bidi="ar"/>
        </w:rPr>
        <w:t>的规定，布置洗衣机、冰箱、排油烟机、排风机、电/燃气热水器、空调器处，尚应加设1个专用单相三孔电源插座</w:t>
      </w:r>
      <w:r>
        <w:rPr>
          <w:rFonts w:hint="eastAsia" w:ascii="宋体" w:hAnsi="宋体" w:eastAsia="宋体" w:cs="宋体"/>
          <w:spacing w:val="6"/>
          <w:sz w:val="32"/>
          <w:szCs w:val="32"/>
          <w:lang w:eastAsia="zh-CN" w:bidi="ar"/>
        </w:rPr>
        <w:t>。</w:t>
      </w:r>
    </w:p>
    <w:p w14:paraId="535955FF">
      <w:pPr>
        <w:widowControl/>
        <w:kinsoku w:val="0"/>
        <w:autoSpaceDE w:val="0"/>
        <w:autoSpaceDN w:val="0"/>
        <w:adjustRightInd w:val="0"/>
        <w:snapToGrid w:val="0"/>
        <w:spacing w:line="560" w:lineRule="exact"/>
        <w:jc w:val="center"/>
        <w:textAlignment w:val="baseline"/>
        <w:rPr>
          <w:rFonts w:hint="eastAsia" w:ascii="宋体" w:hAnsi="宋体" w:eastAsia="宋体" w:cs="宋体"/>
          <w:spacing w:val="6"/>
          <w:sz w:val="32"/>
          <w:szCs w:val="32"/>
          <w:lang w:bidi="ar"/>
        </w:rPr>
      </w:pPr>
      <w:r>
        <w:rPr>
          <w:rFonts w:hint="eastAsia" w:ascii="宋体" w:hAnsi="宋体" w:eastAsia="宋体" w:cs="宋体"/>
          <w:color w:val="000000"/>
          <w:spacing w:val="5"/>
          <w:kern w:val="0"/>
          <w:sz w:val="24"/>
          <w:lang w:bidi="ar"/>
        </w:rPr>
        <w:t>表</w:t>
      </w:r>
      <w:r>
        <w:rPr>
          <w:rFonts w:hint="eastAsia" w:ascii="宋体" w:hAnsi="宋体" w:eastAsia="宋体" w:cs="宋体"/>
          <w:color w:val="000000"/>
          <w:spacing w:val="5"/>
          <w:kern w:val="0"/>
          <w:sz w:val="24"/>
          <w:lang w:eastAsia="zh" w:bidi="ar"/>
        </w:rPr>
        <w:t xml:space="preserve">6.2.9 </w:t>
      </w:r>
      <w:r>
        <w:rPr>
          <w:rFonts w:hint="eastAsia" w:ascii="宋体" w:hAnsi="宋体" w:eastAsia="宋体" w:cs="宋体"/>
          <w:color w:val="000000"/>
          <w:spacing w:val="5"/>
          <w:kern w:val="0"/>
          <w:sz w:val="24"/>
          <w:lang w:bidi="ar"/>
        </w:rPr>
        <w:t>每套住宅电源插座的设置要求及数量</w:t>
      </w:r>
    </w:p>
    <w:tbl>
      <w:tblPr>
        <w:tblStyle w:val="17"/>
        <w:tblpPr w:leftFromText="180" w:rightFromText="180" w:vertAnchor="text" w:horzAnchor="page" w:tblpX="2085" w:tblpY="749"/>
        <w:tblOverlap w:val="never"/>
        <w:tblW w:w="47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45" w:type="dxa"/>
          <w:left w:w="96" w:type="dxa"/>
          <w:bottom w:w="45" w:type="dxa"/>
          <w:right w:w="96" w:type="dxa"/>
        </w:tblCellMar>
      </w:tblPr>
      <w:tblGrid>
        <w:gridCol w:w="2270"/>
        <w:gridCol w:w="3573"/>
        <w:gridCol w:w="2308"/>
      </w:tblGrid>
      <w:tr w14:paraId="27C7D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rPr>
          <w:trHeight w:val="513" w:hRule="atLeast"/>
        </w:trPr>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3B7AE">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名称</w:t>
            </w:r>
          </w:p>
        </w:tc>
        <w:tc>
          <w:tcPr>
            <w:tcW w:w="2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68FB">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设置要求</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7D5E7">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数量（个/间）</w:t>
            </w:r>
          </w:p>
        </w:tc>
      </w:tr>
      <w:tr w14:paraId="0C05B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3B6CE">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起居室(厅)、兼起居的卧室</w:t>
            </w:r>
          </w:p>
        </w:tc>
        <w:tc>
          <w:tcPr>
            <w:tcW w:w="2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BC822">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单相两孔、三孔电源插座</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67FBA">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≥3</w:t>
            </w:r>
          </w:p>
        </w:tc>
      </w:tr>
      <w:tr w14:paraId="291F8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36BC4">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餐厅、阳台</w:t>
            </w:r>
          </w:p>
        </w:tc>
        <w:tc>
          <w:tcPr>
            <w:tcW w:w="2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23381">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单相两孔、三孔电源插座</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350F">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≥1</w:t>
            </w:r>
          </w:p>
        </w:tc>
      </w:tr>
      <w:tr w14:paraId="255C9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B5A6F">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卧室、书房</w:t>
            </w:r>
          </w:p>
        </w:tc>
        <w:tc>
          <w:tcPr>
            <w:tcW w:w="2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3DFCA">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单相两孔、三孔电源插座</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8B068">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≥2</w:t>
            </w:r>
          </w:p>
        </w:tc>
      </w:tr>
      <w:tr w14:paraId="62B86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CB2D0">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厨房</w:t>
            </w:r>
          </w:p>
        </w:tc>
        <w:tc>
          <w:tcPr>
            <w:tcW w:w="2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90C5">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具有IP54防溅附件的单相两 孔、三孔电源插座</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67AB3">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≥3</w:t>
            </w:r>
          </w:p>
        </w:tc>
      </w:tr>
      <w:tr w14:paraId="6CC60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D0573">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卫生间</w:t>
            </w:r>
          </w:p>
        </w:tc>
        <w:tc>
          <w:tcPr>
            <w:tcW w:w="2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C1F37">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具有IP54防溅附件的单相两 孔、三孔电源插座</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FB013">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≥1</w:t>
            </w:r>
          </w:p>
        </w:tc>
      </w:tr>
      <w:tr w14:paraId="2FE85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2016F">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洗衣机、冰箱</w:t>
            </w:r>
          </w:p>
        </w:tc>
        <w:tc>
          <w:tcPr>
            <w:tcW w:w="2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215FF">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单相三孔电源插座</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DC98D">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≥1</w:t>
            </w:r>
          </w:p>
        </w:tc>
      </w:tr>
      <w:tr w14:paraId="6BCC8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5" w:type="dxa"/>
            <w:left w:w="96" w:type="dxa"/>
            <w:bottom w:w="45" w:type="dxa"/>
            <w:right w:w="96" w:type="dxa"/>
          </w:tblCellMar>
        </w:tblPrEx>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A9EEB">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排油烟机、排风机、电热水器</w:t>
            </w:r>
          </w:p>
        </w:tc>
        <w:tc>
          <w:tcPr>
            <w:tcW w:w="2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3B3AF">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单相三孔电源插座</w:t>
            </w:r>
          </w:p>
        </w:tc>
        <w:tc>
          <w:tcPr>
            <w:tcW w:w="1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EF6D9">
            <w:pPr>
              <w:widowControl/>
              <w:kinsoku w:val="0"/>
              <w:autoSpaceDE w:val="0"/>
              <w:autoSpaceDN w:val="0"/>
              <w:adjustRightInd w:val="0"/>
              <w:snapToGrid w:val="0"/>
              <w:jc w:val="center"/>
              <w:textAlignment w:val="baseline"/>
              <w:rPr>
                <w:rFonts w:hint="eastAsia" w:ascii="宋体" w:hAnsi="宋体" w:eastAsia="宋体" w:cs="宋体"/>
                <w:color w:val="000000"/>
                <w:spacing w:val="5"/>
                <w:kern w:val="0"/>
                <w:sz w:val="24"/>
              </w:rPr>
            </w:pPr>
            <w:r>
              <w:rPr>
                <w:rFonts w:hint="eastAsia" w:ascii="宋体" w:hAnsi="宋体" w:eastAsia="宋体" w:cs="宋体"/>
                <w:color w:val="000000"/>
                <w:spacing w:val="5"/>
                <w:kern w:val="0"/>
                <w:sz w:val="24"/>
                <w:lang w:bidi="ar"/>
              </w:rPr>
              <w:t>≥1</w:t>
            </w:r>
          </w:p>
        </w:tc>
      </w:tr>
    </w:tbl>
    <w:p w14:paraId="4EB01D11">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bidi="ar"/>
        </w:rPr>
        <w:t>6.3 低压配电线路的保护</w:t>
      </w:r>
    </w:p>
    <w:p w14:paraId="594BF1CB">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6.3.1 配电线路应装设短路保护、过负荷保护和接地故障保护，作用于切断供电电源或发出报警信号。</w:t>
      </w:r>
    </w:p>
    <w:p w14:paraId="60C3DBA3">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 xml:space="preserve">6.3.2 </w:t>
      </w:r>
      <w:r>
        <w:rPr>
          <w:rFonts w:hint="eastAsia" w:ascii="宋体" w:hAnsi="宋体" w:eastAsia="宋体" w:cs="宋体"/>
          <w:spacing w:val="6"/>
          <w:sz w:val="32"/>
          <w:szCs w:val="32"/>
          <w:lang w:val="en-US" w:eastAsia="zh-CN" w:bidi="ar"/>
        </w:rPr>
        <w:t>剩余电流</w:t>
      </w:r>
      <w:r>
        <w:rPr>
          <w:rFonts w:hint="eastAsia" w:ascii="宋体" w:hAnsi="宋体" w:eastAsia="宋体" w:cs="宋体"/>
          <w:spacing w:val="6"/>
          <w:sz w:val="32"/>
          <w:szCs w:val="32"/>
          <w:lang w:bidi="ar"/>
        </w:rPr>
        <w:t>保护的配置和选型应符合下列规定:</w:t>
      </w:r>
    </w:p>
    <w:p w14:paraId="436EA32E">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1 采用TT或TN-S接地型式的配电系统，漏电保护器应装设在电源端和负荷端，根据需要也可再在分支线端装设漏电保护器;</w:t>
      </w:r>
    </w:p>
    <w:p w14:paraId="5F9687A9">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2 采用TN-C-S接地型式的配电系统，应在负荷端装设漏电保护器，采用TN-C接地型式的配电系统，需对用电设备采用单独接地、形成局部TT系统后采用末级漏电保护器。TN-C-S和TN-C接地系统不应装设漏电总保护和漏电中级保护;</w:t>
      </w:r>
    </w:p>
    <w:p w14:paraId="6C38B7B6">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3 主干线和分支线上的漏电保护器应采用三相(三线或四线)式，末端漏电保护器根据负荷特性采用单相式或三相式。</w:t>
      </w:r>
    </w:p>
    <w:p w14:paraId="27BAD2B0">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6.3.3 住宅单元的电源进线处、配电干线分支处的开关电器、入户配电箱进线处，应具有剩余电流动作报警功能。剩余电流报警信号除应在配电箱处设置外，还宜将报警声光信号送至有人值守的值班室。</w:t>
      </w:r>
    </w:p>
    <w:p w14:paraId="3DBACB24">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 xml:space="preserve">6.3.4 </w:t>
      </w:r>
      <w:r>
        <w:rPr>
          <w:rFonts w:hint="eastAsia" w:ascii="宋体" w:hAnsi="宋体" w:eastAsia="宋体" w:cs="宋体"/>
          <w:spacing w:val="6"/>
          <w:sz w:val="32"/>
          <w:szCs w:val="32"/>
          <w:lang w:val="en-US" w:eastAsia="zh-CN" w:bidi="ar"/>
        </w:rPr>
        <w:t>住宅单元电源进线剩余电流保护额定动作电流≤300mA，配电干线分支剩余电流保护额定动作电流≤100mA，住户入户末端剩余电流保护额定动作电流≤30mA，各级保护应实现分级选择性配合”</w:t>
      </w:r>
      <w:r>
        <w:rPr>
          <w:rFonts w:hint="eastAsia" w:ascii="宋体" w:hAnsi="宋体" w:eastAsia="宋体" w:cs="宋体"/>
          <w:spacing w:val="6"/>
          <w:sz w:val="32"/>
          <w:szCs w:val="32"/>
          <w:lang w:bidi="ar"/>
        </w:rPr>
        <w:t>。</w:t>
      </w:r>
    </w:p>
    <w:p w14:paraId="3CF851D7">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6.3.5 属于I类的移动式电气设备及手持式电动工具(注释:参照GB/T17045，电气产品分为四类。其中I类产品的防电击保护不仅依靠设备的基本绝缘，而且还应包含一个附加的安全预防措施，该措施是将可能触及的可导电的零件与已安装的固定线路中的保护线或T系统的独立接地装置联接起来，以使可触及的可导电的零件在基本绝缘损坏的事故中不带有危险电压。)和住宅等除壁挂式空调电源插座外的其他电源插座或插座回路应安装末端保护剩余电流动作保护装置。</w:t>
      </w:r>
    </w:p>
    <w:p w14:paraId="1BDBDD3C">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6.3.6 剩余电流动作保护装置动作参数的选择，应考虑如下因素:</w:t>
      </w:r>
    </w:p>
    <w:p w14:paraId="799F2393">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1 手持式电动工具、移动电器、家用电器等设备应优先选用额定剩余动作电流不大于30mA、无延时的剩余电流动作保护装置；</w:t>
      </w:r>
    </w:p>
    <w:p w14:paraId="11C652AD">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2 单台电气机械设备，可根据其容量大小选用额定剩余动作电流30mA以上、100mA及以下、无延时剩余电流动作保护装置;</w:t>
      </w:r>
    </w:p>
    <w:p w14:paraId="576AB48D">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3 电气线路或多台电气设备(或多住户)的电源端，其动作电流和动作时间应按被保护线路和设备的具体情况及其泄漏电流值确定。必要时应选用动作电流可调和延时动作型的剩余电流动作保护装置;</w:t>
      </w:r>
    </w:p>
    <w:p w14:paraId="5D783A00">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4 在采用分级保护方式时，上下级剩余电流动作保护器的动作时间差不得小于0.1s。上一级剩余电流动作保护器的极限不驱动时间应大于下一级剩余电流动作保护装置的动作时间，且时间差应尽量小;</w:t>
      </w:r>
    </w:p>
    <w:p w14:paraId="1BCBE0FB">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5 选用的剩余电流动作保护装置的额定剩余不动作电流，应不小于被保护电气线路和设备的正常运行时泄漏电流最大值的2倍；</w:t>
      </w:r>
    </w:p>
    <w:p w14:paraId="71D80479">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 除末端保护外，各级剩余电流动作保护装置应选用低灵敏度延时型的保护装置。且各级保护装置的动作特性应协调配合，实现具有选择性的分级保护。</w:t>
      </w:r>
    </w:p>
    <w:p w14:paraId="20B941BD">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6.3.7 每套住宅应设置自恢复式过、欠电压保护电器。</w:t>
      </w:r>
    </w:p>
    <w:p w14:paraId="170F27FB">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6.3.8 家居配电箱应设同时断开相线和中性线且具有隔离功能的电源进线开关电器。</w:t>
      </w:r>
    </w:p>
    <w:p w14:paraId="513AD036">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bidi="ar"/>
        </w:rPr>
        <w:t>6.4 导体及缆线选择</w:t>
      </w:r>
    </w:p>
    <w:p w14:paraId="64A09E90">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val="en-US" w:eastAsia="zh" w:bidi="ar"/>
          <w:woUserID w:val="2"/>
        </w:rPr>
      </w:pPr>
      <w:r>
        <w:rPr>
          <w:rFonts w:hint="eastAsia" w:ascii="宋体" w:hAnsi="宋体" w:eastAsia="宋体" w:cs="宋体"/>
          <w:spacing w:val="6"/>
          <w:sz w:val="32"/>
          <w:szCs w:val="32"/>
          <w:lang w:bidi="ar"/>
        </w:rPr>
        <w:t>6.4.1 低压配电应</w:t>
      </w:r>
      <w:r>
        <w:rPr>
          <w:rFonts w:hint="eastAsia" w:ascii="宋体" w:hAnsi="宋体" w:eastAsia="宋体" w:cs="宋体"/>
          <w:spacing w:val="6"/>
          <w:sz w:val="32"/>
          <w:szCs w:val="32"/>
          <w:lang w:eastAsia="zh" w:bidi="ar"/>
          <w:woUserID w:val="2"/>
        </w:rPr>
        <w:t>采用铜导体。</w:t>
      </w:r>
    </w:p>
    <w:p w14:paraId="6A8A1BC4">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6.4.</w:t>
      </w:r>
      <w:r>
        <w:rPr>
          <w:rFonts w:hint="eastAsia" w:ascii="宋体" w:hAnsi="宋体" w:eastAsia="宋体" w:cs="宋体"/>
          <w:spacing w:val="6"/>
          <w:sz w:val="32"/>
          <w:szCs w:val="32"/>
          <w:lang w:eastAsia="zh" w:bidi="ar"/>
          <w:woUserID w:val="2"/>
        </w:rPr>
        <w:t>2</w:t>
      </w:r>
      <w:r>
        <w:rPr>
          <w:rFonts w:hint="eastAsia" w:ascii="宋体" w:hAnsi="宋体" w:eastAsia="宋体" w:cs="宋体"/>
          <w:spacing w:val="6"/>
          <w:sz w:val="32"/>
          <w:szCs w:val="32"/>
          <w:lang w:bidi="ar"/>
        </w:rPr>
        <w:t xml:space="preserve"> 低压配电导体截面应按敷设方式、环境条件确定导体载流量，且应按不小于最大计算电流选择。导体应满足动稳定与热稳定的要求，导体最小截面应满足机械强度的要求。</w:t>
      </w:r>
    </w:p>
    <w:p w14:paraId="1D838E4D">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6.4.</w:t>
      </w:r>
      <w:r>
        <w:rPr>
          <w:rFonts w:hint="eastAsia" w:ascii="宋体" w:hAnsi="宋体" w:eastAsia="宋体" w:cs="宋体"/>
          <w:spacing w:val="6"/>
          <w:sz w:val="32"/>
          <w:szCs w:val="32"/>
          <w:lang w:eastAsia="zh" w:bidi="ar"/>
          <w:woUserID w:val="2"/>
        </w:rPr>
        <w:t>3</w:t>
      </w:r>
      <w:r>
        <w:rPr>
          <w:rFonts w:hint="eastAsia" w:ascii="宋体" w:hAnsi="宋体" w:eastAsia="宋体" w:cs="宋体"/>
          <w:spacing w:val="6"/>
          <w:sz w:val="32"/>
          <w:szCs w:val="32"/>
          <w:lang w:bidi="ar"/>
        </w:rPr>
        <w:t xml:space="preserve"> 住户电源进户线应不小于10mm²,照明和插座回路支线应不小于2.5mm²。</w:t>
      </w:r>
    </w:p>
    <w:p w14:paraId="67FC42A2">
      <w:pPr>
        <w:widowControl/>
        <w:kinsoku w:val="0"/>
        <w:autoSpaceDE w:val="0"/>
        <w:autoSpaceDN w:val="0"/>
        <w:adjustRightInd w:val="0"/>
        <w:snapToGrid w:val="0"/>
        <w:spacing w:line="560" w:lineRule="exact"/>
        <w:ind w:right="85" w:firstLine="3"/>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bidi="ar"/>
        </w:rPr>
        <w:t>6.4.</w:t>
      </w:r>
      <w:r>
        <w:rPr>
          <w:rFonts w:hint="eastAsia" w:ascii="宋体" w:hAnsi="宋体" w:eastAsia="宋体" w:cs="宋体"/>
          <w:spacing w:val="6"/>
          <w:sz w:val="32"/>
          <w:szCs w:val="32"/>
          <w:lang w:eastAsia="zh" w:bidi="ar"/>
          <w:woUserID w:val="2"/>
        </w:rPr>
        <w:t>4</w:t>
      </w:r>
      <w:r>
        <w:rPr>
          <w:rFonts w:hint="eastAsia" w:ascii="宋体" w:hAnsi="宋体" w:eastAsia="宋体" w:cs="宋体"/>
          <w:spacing w:val="6"/>
          <w:sz w:val="32"/>
          <w:szCs w:val="32"/>
          <w:lang w:bidi="ar"/>
        </w:rPr>
        <w:t xml:space="preserve"> 住宅建筑的低压配电中性导体应与相导体具有相同的材质和截面。当保护导体所用材质与相导体相同时，保护导体的最小截面应符合表6.4.4的规定。</w:t>
      </w:r>
    </w:p>
    <w:p w14:paraId="7BF6702F">
      <w:pPr>
        <w:widowControl/>
        <w:kinsoku w:val="0"/>
        <w:autoSpaceDE w:val="0"/>
        <w:autoSpaceDN w:val="0"/>
        <w:adjustRightInd w:val="0"/>
        <w:snapToGrid w:val="0"/>
        <w:spacing w:line="560" w:lineRule="exact"/>
        <w:jc w:val="center"/>
        <w:textAlignment w:val="baseline"/>
        <w:rPr>
          <w:rFonts w:hint="eastAsia" w:ascii="宋体" w:hAnsi="宋体" w:eastAsia="宋体" w:cs="宋体"/>
          <w:color w:val="000000"/>
          <w:kern w:val="0"/>
          <w:sz w:val="24"/>
        </w:rPr>
      </w:pPr>
      <w:r>
        <w:rPr>
          <w:rFonts w:hint="eastAsia" w:ascii="宋体" w:hAnsi="宋体" w:eastAsia="宋体" w:cs="宋体"/>
          <w:color w:val="000000"/>
          <w:spacing w:val="-13"/>
          <w:kern w:val="0"/>
          <w:sz w:val="24"/>
          <w:lang w:bidi="ar"/>
        </w:rPr>
        <w:t>表6.4.4 保护导体的最小截面(mm²)</w:t>
      </w:r>
    </w:p>
    <w:tbl>
      <w:tblPr>
        <w:tblStyle w:val="17"/>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852"/>
        <w:gridCol w:w="5471"/>
      </w:tblGrid>
      <w:tr w14:paraId="1D6EA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713" w:type="pct"/>
            <w:tcBorders>
              <w:top w:val="single" w:color="000000" w:sz="4" w:space="0"/>
              <w:left w:val="single" w:color="000000" w:sz="4" w:space="0"/>
              <w:bottom w:val="single" w:color="000000" w:sz="4" w:space="0"/>
              <w:right w:val="single" w:color="000000" w:sz="4" w:space="0"/>
            </w:tcBorders>
            <w:shd w:val="clear" w:color="auto" w:fill="auto"/>
          </w:tcPr>
          <w:p w14:paraId="19B7777C">
            <w:pPr>
              <w:pStyle w:val="8"/>
              <w:widowControl/>
              <w:kinsoku w:val="0"/>
              <w:autoSpaceDE w:val="0"/>
              <w:autoSpaceDN w:val="0"/>
              <w:adjustRightInd w:val="0"/>
              <w:snapToGrid w:val="0"/>
              <w:spacing w:beforeAutospacing="0" w:afterAutospacing="0" w:line="240" w:lineRule="auto"/>
              <w:ind w:left="254"/>
              <w:jc w:val="both"/>
              <w:textAlignment w:val="baseline"/>
              <w:rPr>
                <w:rFonts w:hint="eastAsia" w:ascii="宋体" w:hAnsi="宋体" w:eastAsia="宋体" w:cs="宋体"/>
                <w:color w:val="000000"/>
                <w:sz w:val="24"/>
                <w:szCs w:val="24"/>
              </w:rPr>
            </w:pPr>
            <w:r>
              <w:rPr>
                <w:rFonts w:hint="eastAsia" w:ascii="宋体" w:hAnsi="宋体" w:eastAsia="宋体" w:cs="宋体"/>
                <w:color w:val="000000"/>
                <w:spacing w:val="-1"/>
                <w:sz w:val="24"/>
                <w:szCs w:val="24"/>
                <w:lang w:bidi="ar"/>
              </w:rPr>
              <w:t>相导体的截面S</w:t>
            </w:r>
          </w:p>
        </w:tc>
        <w:tc>
          <w:tcPr>
            <w:tcW w:w="3286" w:type="pct"/>
            <w:tcBorders>
              <w:top w:val="single" w:color="000000" w:sz="4" w:space="0"/>
              <w:left w:val="single" w:color="000000" w:sz="4" w:space="0"/>
              <w:bottom w:val="single" w:color="000000" w:sz="4" w:space="0"/>
              <w:right w:val="single" w:color="000000" w:sz="4" w:space="0"/>
            </w:tcBorders>
            <w:shd w:val="clear" w:color="auto" w:fill="auto"/>
          </w:tcPr>
          <w:p w14:paraId="633A6E64">
            <w:pPr>
              <w:pStyle w:val="8"/>
              <w:widowControl/>
              <w:kinsoku w:val="0"/>
              <w:autoSpaceDE w:val="0"/>
              <w:autoSpaceDN w:val="0"/>
              <w:adjustRightInd w:val="0"/>
              <w:snapToGrid w:val="0"/>
              <w:spacing w:beforeAutospacing="0" w:afterAutospacing="0" w:line="240" w:lineRule="auto"/>
              <w:ind w:left="752"/>
              <w:jc w:val="both"/>
              <w:textAlignment w:val="baseline"/>
              <w:rPr>
                <w:rFonts w:hint="eastAsia" w:ascii="宋体" w:hAnsi="宋体" w:eastAsia="宋体" w:cs="宋体"/>
                <w:color w:val="000000"/>
                <w:sz w:val="24"/>
                <w:szCs w:val="24"/>
              </w:rPr>
            </w:pPr>
            <w:r>
              <w:rPr>
                <w:rFonts w:hint="eastAsia" w:ascii="宋体" w:hAnsi="宋体" w:eastAsia="宋体" w:cs="宋体"/>
                <w:color w:val="000000"/>
                <w:spacing w:val="3"/>
                <w:sz w:val="24"/>
                <w:szCs w:val="24"/>
                <w:lang w:bidi="ar"/>
              </w:rPr>
              <w:t>相应保护导体的最小截面</w:t>
            </w:r>
            <w:r>
              <w:rPr>
                <w:rFonts w:hint="eastAsia" w:ascii="宋体" w:hAnsi="宋体" w:eastAsia="宋体" w:cs="宋体"/>
                <w:color w:val="000000"/>
                <w:sz w:val="24"/>
                <w:szCs w:val="24"/>
                <w:lang w:bidi="ar"/>
              </w:rPr>
              <w:t>Spe</w:t>
            </w:r>
            <w:r>
              <w:rPr>
                <w:rFonts w:hint="eastAsia" w:ascii="宋体" w:hAnsi="宋体" w:eastAsia="宋体" w:cs="宋体"/>
                <w:color w:val="000000"/>
                <w:spacing w:val="3"/>
                <w:sz w:val="24"/>
                <w:szCs w:val="24"/>
                <w:lang w:bidi="ar"/>
              </w:rPr>
              <w:t>(</w:t>
            </w:r>
            <w:r>
              <w:rPr>
                <w:rFonts w:hint="eastAsia" w:ascii="宋体" w:hAnsi="宋体" w:eastAsia="宋体" w:cs="宋体"/>
                <w:color w:val="000000"/>
                <w:sz w:val="24"/>
                <w:szCs w:val="24"/>
                <w:lang w:bidi="ar"/>
              </w:rPr>
              <w:t>PE</w:t>
            </w:r>
            <w:r>
              <w:rPr>
                <w:rFonts w:hint="eastAsia" w:ascii="宋体" w:hAnsi="宋体" w:eastAsia="宋体" w:cs="宋体"/>
                <w:color w:val="000000"/>
                <w:spacing w:val="3"/>
                <w:sz w:val="24"/>
                <w:szCs w:val="24"/>
                <w:lang w:bidi="ar"/>
              </w:rPr>
              <w:t>)</w:t>
            </w:r>
          </w:p>
        </w:tc>
      </w:tr>
      <w:tr w14:paraId="1409B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1713" w:type="pct"/>
            <w:tcBorders>
              <w:top w:val="single" w:color="000000" w:sz="4" w:space="0"/>
              <w:left w:val="single" w:color="000000" w:sz="4" w:space="0"/>
              <w:bottom w:val="single" w:color="000000" w:sz="4" w:space="0"/>
              <w:right w:val="single" w:color="000000" w:sz="4" w:space="0"/>
            </w:tcBorders>
            <w:shd w:val="clear" w:color="auto" w:fill="auto"/>
          </w:tcPr>
          <w:p w14:paraId="2EC51081">
            <w:pPr>
              <w:pStyle w:val="8"/>
              <w:widowControl/>
              <w:kinsoku w:val="0"/>
              <w:autoSpaceDE w:val="0"/>
              <w:autoSpaceDN w:val="0"/>
              <w:adjustRightInd w:val="0"/>
              <w:snapToGrid w:val="0"/>
              <w:spacing w:beforeAutospacing="0" w:afterAutospacing="0" w:line="240" w:lineRule="auto"/>
              <w:ind w:left="614"/>
              <w:jc w:val="both"/>
              <w:textAlignment w:val="baseline"/>
              <w:rPr>
                <w:rFonts w:hint="eastAsia" w:ascii="宋体" w:hAnsi="宋体" w:eastAsia="宋体" w:cs="宋体"/>
                <w:color w:val="000000"/>
                <w:sz w:val="24"/>
                <w:szCs w:val="24"/>
              </w:rPr>
            </w:pPr>
            <w:r>
              <w:rPr>
                <w:rFonts w:hint="eastAsia" w:ascii="宋体" w:hAnsi="宋体" w:eastAsia="宋体" w:cs="宋体"/>
                <w:color w:val="000000"/>
                <w:spacing w:val="-2"/>
                <w:sz w:val="24"/>
                <w:szCs w:val="24"/>
                <w:lang w:bidi="ar"/>
              </w:rPr>
              <w:t>S≤16</w:t>
            </w:r>
          </w:p>
        </w:tc>
        <w:tc>
          <w:tcPr>
            <w:tcW w:w="3286" w:type="pct"/>
            <w:tcBorders>
              <w:top w:val="single" w:color="000000" w:sz="4" w:space="0"/>
              <w:left w:val="single" w:color="000000" w:sz="4" w:space="0"/>
              <w:bottom w:val="single" w:color="000000" w:sz="4" w:space="0"/>
              <w:right w:val="single" w:color="000000" w:sz="4" w:space="0"/>
            </w:tcBorders>
            <w:shd w:val="clear" w:color="auto" w:fill="auto"/>
          </w:tcPr>
          <w:p w14:paraId="5C4531BA">
            <w:pPr>
              <w:pStyle w:val="8"/>
              <w:widowControl/>
              <w:kinsoku w:val="0"/>
              <w:autoSpaceDE w:val="0"/>
              <w:autoSpaceDN w:val="0"/>
              <w:adjustRightInd w:val="0"/>
              <w:snapToGrid w:val="0"/>
              <w:spacing w:beforeAutospacing="0" w:afterAutospacing="0" w:line="240" w:lineRule="auto"/>
              <w:ind w:left="1832"/>
              <w:jc w:val="both"/>
              <w:textAlignment w:val="baseline"/>
              <w:rPr>
                <w:rFonts w:hint="eastAsia" w:ascii="宋体" w:hAnsi="宋体" w:eastAsia="宋体" w:cs="宋体"/>
                <w:color w:val="000000"/>
                <w:sz w:val="24"/>
                <w:szCs w:val="24"/>
              </w:rPr>
            </w:pPr>
            <w:r>
              <w:rPr>
                <w:rFonts w:hint="eastAsia" w:ascii="宋体" w:hAnsi="宋体" w:eastAsia="宋体" w:cs="宋体"/>
                <w:color w:val="000000"/>
                <w:spacing w:val="-2"/>
                <w:sz w:val="24"/>
                <w:szCs w:val="24"/>
                <w:lang w:bidi="ar"/>
              </w:rPr>
              <w:t>S</w:t>
            </w:r>
            <w:r>
              <w:rPr>
                <w:rFonts w:hint="eastAsia" w:ascii="宋体" w:hAnsi="宋体" w:eastAsia="宋体" w:cs="宋体"/>
                <w:color w:val="000000"/>
                <w:sz w:val="24"/>
                <w:szCs w:val="24"/>
                <w:lang w:bidi="ar"/>
              </w:rPr>
              <w:t>pe</w:t>
            </w:r>
            <w:r>
              <w:rPr>
                <w:rFonts w:hint="eastAsia" w:ascii="宋体" w:hAnsi="宋体" w:eastAsia="宋体" w:cs="宋体"/>
                <w:color w:val="000000"/>
                <w:spacing w:val="-2"/>
                <w:sz w:val="24"/>
                <w:szCs w:val="24"/>
                <w:lang w:bidi="ar"/>
              </w:rPr>
              <w:t>=S</w:t>
            </w:r>
          </w:p>
        </w:tc>
      </w:tr>
      <w:tr w14:paraId="3DDBB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713" w:type="pct"/>
            <w:tcBorders>
              <w:top w:val="single" w:color="000000" w:sz="4" w:space="0"/>
              <w:left w:val="single" w:color="000000" w:sz="4" w:space="0"/>
              <w:bottom w:val="single" w:color="000000" w:sz="4" w:space="0"/>
              <w:right w:val="single" w:color="000000" w:sz="4" w:space="0"/>
            </w:tcBorders>
            <w:shd w:val="clear" w:color="auto" w:fill="auto"/>
          </w:tcPr>
          <w:p w14:paraId="14BD5D53">
            <w:pPr>
              <w:pStyle w:val="8"/>
              <w:widowControl/>
              <w:kinsoku w:val="0"/>
              <w:autoSpaceDE w:val="0"/>
              <w:autoSpaceDN w:val="0"/>
              <w:adjustRightInd w:val="0"/>
              <w:snapToGrid w:val="0"/>
              <w:spacing w:beforeAutospacing="0" w:afterAutospacing="0" w:line="240" w:lineRule="auto"/>
              <w:ind w:left="474"/>
              <w:jc w:val="both"/>
              <w:textAlignment w:val="baseline"/>
              <w:rPr>
                <w:rFonts w:hint="eastAsia" w:ascii="宋体" w:hAnsi="宋体" w:eastAsia="宋体" w:cs="宋体"/>
                <w:color w:val="000000"/>
                <w:sz w:val="24"/>
                <w:szCs w:val="24"/>
              </w:rPr>
            </w:pPr>
            <w:r>
              <w:rPr>
                <w:rFonts w:hint="eastAsia" w:ascii="宋体" w:hAnsi="宋体" w:eastAsia="宋体" w:cs="宋体"/>
                <w:color w:val="000000"/>
                <w:spacing w:val="-3"/>
                <w:sz w:val="24"/>
                <w:szCs w:val="24"/>
                <w:lang w:bidi="ar"/>
              </w:rPr>
              <w:t>16＜S≤35</w:t>
            </w:r>
          </w:p>
        </w:tc>
        <w:tc>
          <w:tcPr>
            <w:tcW w:w="3286" w:type="pct"/>
            <w:tcBorders>
              <w:top w:val="single" w:color="000000" w:sz="4" w:space="0"/>
              <w:left w:val="single" w:color="000000" w:sz="4" w:space="0"/>
              <w:bottom w:val="single" w:color="000000" w:sz="4" w:space="0"/>
              <w:right w:val="single" w:color="000000" w:sz="4" w:space="0"/>
            </w:tcBorders>
            <w:shd w:val="clear" w:color="auto" w:fill="auto"/>
          </w:tcPr>
          <w:p w14:paraId="4CED1026">
            <w:pPr>
              <w:pStyle w:val="8"/>
              <w:widowControl/>
              <w:kinsoku w:val="0"/>
              <w:autoSpaceDE w:val="0"/>
              <w:autoSpaceDN w:val="0"/>
              <w:adjustRightInd w:val="0"/>
              <w:snapToGrid w:val="0"/>
              <w:spacing w:beforeAutospacing="0" w:afterAutospacing="0" w:line="240" w:lineRule="auto"/>
              <w:ind w:left="1792"/>
              <w:jc w:val="both"/>
              <w:textAlignment w:val="baseline"/>
              <w:rPr>
                <w:rFonts w:hint="eastAsia" w:ascii="宋体" w:hAnsi="宋体" w:eastAsia="宋体" w:cs="宋体"/>
                <w:color w:val="000000"/>
                <w:sz w:val="24"/>
                <w:szCs w:val="24"/>
              </w:rPr>
            </w:pPr>
            <w:r>
              <w:rPr>
                <w:rFonts w:hint="eastAsia" w:ascii="宋体" w:hAnsi="宋体" w:eastAsia="宋体" w:cs="宋体"/>
                <w:color w:val="000000"/>
                <w:spacing w:val="-2"/>
                <w:sz w:val="24"/>
                <w:szCs w:val="24"/>
                <w:lang w:bidi="ar"/>
              </w:rPr>
              <w:t>S</w:t>
            </w:r>
            <w:r>
              <w:rPr>
                <w:rFonts w:hint="eastAsia" w:ascii="宋体" w:hAnsi="宋体" w:eastAsia="宋体" w:cs="宋体"/>
                <w:color w:val="000000"/>
                <w:sz w:val="24"/>
                <w:szCs w:val="24"/>
                <w:lang w:bidi="ar"/>
              </w:rPr>
              <w:t>pe</w:t>
            </w:r>
            <w:r>
              <w:rPr>
                <w:rFonts w:hint="eastAsia" w:ascii="宋体" w:hAnsi="宋体" w:eastAsia="宋体" w:cs="宋体"/>
                <w:color w:val="000000"/>
                <w:spacing w:val="-2"/>
                <w:sz w:val="24"/>
                <w:szCs w:val="24"/>
                <w:lang w:bidi="ar"/>
              </w:rPr>
              <w:t>=16</w:t>
            </w:r>
          </w:p>
        </w:tc>
      </w:tr>
      <w:tr w14:paraId="0E601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713" w:type="pct"/>
            <w:tcBorders>
              <w:top w:val="single" w:color="000000" w:sz="4" w:space="0"/>
              <w:left w:val="single" w:color="000000" w:sz="4" w:space="0"/>
              <w:bottom w:val="single" w:color="000000" w:sz="4" w:space="0"/>
              <w:right w:val="single" w:color="000000" w:sz="4" w:space="0"/>
            </w:tcBorders>
            <w:shd w:val="clear" w:color="auto" w:fill="auto"/>
          </w:tcPr>
          <w:p w14:paraId="56B76DCA">
            <w:pPr>
              <w:pStyle w:val="8"/>
              <w:widowControl/>
              <w:kinsoku w:val="0"/>
              <w:autoSpaceDE w:val="0"/>
              <w:autoSpaceDN w:val="0"/>
              <w:adjustRightInd w:val="0"/>
              <w:snapToGrid w:val="0"/>
              <w:spacing w:beforeAutospacing="0" w:afterAutospacing="0" w:line="240" w:lineRule="auto"/>
              <w:ind w:left="654"/>
              <w:jc w:val="both"/>
              <w:textAlignment w:val="baseline"/>
              <w:rPr>
                <w:rFonts w:hint="eastAsia" w:ascii="宋体" w:hAnsi="宋体" w:eastAsia="宋体" w:cs="宋体"/>
                <w:color w:val="000000"/>
                <w:sz w:val="24"/>
                <w:szCs w:val="24"/>
              </w:rPr>
            </w:pPr>
            <w:r>
              <w:rPr>
                <w:rFonts w:hint="eastAsia" w:ascii="宋体" w:hAnsi="宋体" w:eastAsia="宋体" w:cs="宋体"/>
                <w:color w:val="000000"/>
                <w:spacing w:val="-2"/>
                <w:sz w:val="24"/>
                <w:szCs w:val="24"/>
                <w:lang w:bidi="ar"/>
              </w:rPr>
              <w:t>S＞35</w:t>
            </w:r>
          </w:p>
        </w:tc>
        <w:tc>
          <w:tcPr>
            <w:tcW w:w="3286" w:type="pct"/>
            <w:tcBorders>
              <w:top w:val="single" w:color="000000" w:sz="4" w:space="0"/>
              <w:left w:val="single" w:color="000000" w:sz="4" w:space="0"/>
              <w:bottom w:val="single" w:color="000000" w:sz="4" w:space="0"/>
              <w:right w:val="single" w:color="000000" w:sz="4" w:space="0"/>
            </w:tcBorders>
            <w:shd w:val="clear" w:color="auto" w:fill="auto"/>
          </w:tcPr>
          <w:p w14:paraId="3BF23E4F">
            <w:pPr>
              <w:pStyle w:val="8"/>
              <w:widowControl/>
              <w:kinsoku w:val="0"/>
              <w:autoSpaceDE w:val="0"/>
              <w:autoSpaceDN w:val="0"/>
              <w:adjustRightInd w:val="0"/>
              <w:snapToGrid w:val="0"/>
              <w:spacing w:beforeAutospacing="0" w:afterAutospacing="0" w:line="240" w:lineRule="auto"/>
              <w:ind w:left="1743"/>
              <w:jc w:val="both"/>
              <w:textAlignment w:val="baseline"/>
              <w:rPr>
                <w:rFonts w:hint="eastAsia" w:ascii="宋体" w:hAnsi="宋体" w:eastAsia="宋体" w:cs="宋体"/>
                <w:color w:val="000000"/>
                <w:sz w:val="24"/>
                <w:szCs w:val="24"/>
              </w:rPr>
            </w:pPr>
            <w:r>
              <w:rPr>
                <w:rFonts w:hint="eastAsia" w:ascii="宋体" w:hAnsi="宋体" w:eastAsia="宋体" w:cs="宋体"/>
                <w:color w:val="000000"/>
                <w:spacing w:val="-2"/>
                <w:sz w:val="24"/>
                <w:szCs w:val="24"/>
                <w:lang w:bidi="ar"/>
              </w:rPr>
              <w:t>S</w:t>
            </w:r>
            <w:r>
              <w:rPr>
                <w:rFonts w:hint="eastAsia" w:ascii="宋体" w:hAnsi="宋体" w:eastAsia="宋体" w:cs="宋体"/>
                <w:color w:val="000000"/>
                <w:sz w:val="24"/>
                <w:szCs w:val="24"/>
                <w:lang w:bidi="ar"/>
              </w:rPr>
              <w:t>pe</w:t>
            </w:r>
            <w:r>
              <w:rPr>
                <w:rFonts w:hint="eastAsia" w:ascii="宋体" w:hAnsi="宋体" w:eastAsia="宋体" w:cs="宋体"/>
                <w:color w:val="000000"/>
                <w:spacing w:val="-2"/>
                <w:sz w:val="24"/>
                <w:szCs w:val="24"/>
                <w:lang w:bidi="ar"/>
              </w:rPr>
              <w:t>=S/2</w:t>
            </w:r>
          </w:p>
        </w:tc>
      </w:tr>
    </w:tbl>
    <w:p w14:paraId="4D9F21A3">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3169C7C9">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42F69CDE">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1AB39BA4">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72409798">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31F27A6D">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204AD5AD">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4E90E00B">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017F9B41">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49ECC4D8">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76E466DD">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1135CF6F">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6D2C7C20">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7793C9E7">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07DB39EB">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054EF561">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43ECD988">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79AFA0E5">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1DCB976F">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78BF380E">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17292F71">
      <w:pPr>
        <w:widowControl/>
        <w:kinsoku w:val="0"/>
        <w:autoSpaceDE w:val="0"/>
        <w:autoSpaceDN w:val="0"/>
        <w:adjustRightInd w:val="0"/>
        <w:snapToGrid w:val="0"/>
        <w:spacing w:line="560" w:lineRule="exact"/>
        <w:ind w:right="85" w:firstLine="3"/>
        <w:textAlignment w:val="baseline"/>
        <w:rPr>
          <w:rFonts w:ascii="仿宋" w:hAnsi="仿宋" w:eastAsia="仿宋" w:cs="仿宋"/>
          <w:color w:val="000000"/>
          <w:spacing w:val="5"/>
          <w:kern w:val="0"/>
          <w:sz w:val="32"/>
          <w:szCs w:val="32"/>
          <w:highlight w:val="yellow"/>
          <w:lang w:bidi="ar"/>
        </w:rPr>
      </w:pPr>
    </w:p>
    <w:p w14:paraId="5085DCC8">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bidi="ar"/>
        </w:rPr>
      </w:pPr>
      <w:bookmarkStart w:id="6" w:name="_Toc27341"/>
      <w:r>
        <w:rPr>
          <w:rFonts w:hint="eastAsia" w:ascii="宋体" w:hAnsi="宋体" w:eastAsia="宋体" w:cs="宋体"/>
          <w:b/>
          <w:bCs/>
          <w:color w:val="000000"/>
          <w:spacing w:val="-6"/>
          <w:kern w:val="0"/>
          <w:sz w:val="32"/>
          <w:szCs w:val="32"/>
          <w:lang w:bidi="ar"/>
        </w:rPr>
        <w:t>7 配电线路布线系统</w:t>
      </w:r>
      <w:bookmarkEnd w:id="6"/>
      <w:r>
        <w:rPr>
          <w:rFonts w:hint="eastAsia" w:ascii="宋体" w:hAnsi="宋体" w:eastAsia="宋体" w:cs="宋体"/>
          <w:b/>
          <w:bCs/>
          <w:color w:val="000000"/>
          <w:spacing w:val="-6"/>
          <w:kern w:val="0"/>
          <w:sz w:val="32"/>
          <w:szCs w:val="32"/>
          <w:lang w:bidi="ar"/>
        </w:rPr>
        <w:t xml:space="preserve"> </w:t>
      </w:r>
    </w:p>
    <w:p w14:paraId="694A010B">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bidi="ar"/>
        </w:rPr>
        <w:t xml:space="preserve">7.1 一般规定 </w:t>
      </w:r>
    </w:p>
    <w:p w14:paraId="784AA22A">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7.1.1 电源布线系统宜考虑电磁兼容性和对其他弱电系统的影响。</w:t>
      </w:r>
    </w:p>
    <w:p w14:paraId="62E1AC98">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woUserID w:val="3"/>
        </w:rPr>
      </w:pPr>
      <w:r>
        <w:rPr>
          <w:rFonts w:hint="eastAsia" w:ascii="宋体" w:hAnsi="宋体" w:eastAsia="宋体" w:cs="宋体"/>
          <w:spacing w:val="6"/>
          <w:sz w:val="32"/>
          <w:szCs w:val="32"/>
          <w:lang w:val="en-US" w:eastAsia="zh-CN" w:bidi="ar"/>
        </w:rPr>
        <w:t>7</w:t>
      </w:r>
      <w:r>
        <w:rPr>
          <w:rFonts w:hint="eastAsia" w:ascii="宋体" w:hAnsi="宋体" w:eastAsia="宋体" w:cs="宋体"/>
          <w:spacing w:val="6"/>
          <w:sz w:val="32"/>
          <w:szCs w:val="32"/>
          <w:lang w:bidi="ar"/>
        </w:rPr>
        <w:t>.1.</w:t>
      </w: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bidi="ar"/>
        </w:rPr>
        <w:t xml:space="preserve"> </w:t>
      </w:r>
      <w:r>
        <w:rPr>
          <w:rFonts w:hint="eastAsia" w:ascii="宋体" w:hAnsi="宋体" w:eastAsia="宋体" w:cs="宋体"/>
          <w:spacing w:val="6"/>
          <w:kern w:val="2"/>
          <w:sz w:val="32"/>
          <w:szCs w:val="32"/>
          <w:vertAlign w:val="baseline"/>
          <w:lang w:val="en-US" w:eastAsia="zh-CN" w:bidi="ar"/>
          <w:woUserID w:val="3"/>
        </w:rPr>
        <w:t>电源布线系统</w:t>
      </w:r>
      <w:r>
        <w:rPr>
          <w:rFonts w:hint="eastAsia" w:ascii="宋体" w:hAnsi="宋体" w:eastAsia="宋体" w:cs="宋体"/>
          <w:spacing w:val="6"/>
          <w:sz w:val="32"/>
          <w:szCs w:val="32"/>
          <w:lang w:bidi="ar"/>
        </w:rPr>
        <w:t>应符合国家现行标准《低压配电设计规范》GB50054</w:t>
      </w:r>
      <w:r>
        <w:rPr>
          <w:rFonts w:hint="eastAsia" w:ascii="宋体" w:hAnsi="宋体" w:eastAsia="宋体" w:cs="宋体"/>
          <w:spacing w:val="6"/>
          <w:sz w:val="32"/>
          <w:szCs w:val="32"/>
          <w:lang w:val="en-US" w:eastAsia="zh-CN" w:bidi="ar"/>
        </w:rPr>
        <w:t xml:space="preserve"> 、</w:t>
      </w:r>
      <w:r>
        <w:rPr>
          <w:rFonts w:hint="eastAsia" w:ascii="宋体" w:hAnsi="宋体" w:eastAsia="宋体" w:cs="宋体"/>
          <w:spacing w:val="6"/>
          <w:sz w:val="32"/>
          <w:szCs w:val="32"/>
          <w:lang w:bidi="ar"/>
        </w:rPr>
        <w:t>《民用建筑电气设计规范》</w:t>
      </w:r>
      <w:r>
        <w:rPr>
          <w:rFonts w:hint="eastAsia" w:ascii="宋体" w:hAnsi="宋体" w:eastAsia="宋体" w:cs="宋体"/>
          <w:spacing w:val="6"/>
          <w:sz w:val="32"/>
          <w:szCs w:val="32"/>
          <w:lang w:val="en-US" w:eastAsia="zh" w:bidi="ar"/>
        </w:rPr>
        <w:t>GB 51348</w:t>
      </w:r>
      <w:r>
        <w:rPr>
          <w:rFonts w:hint="eastAsia" w:ascii="宋体" w:hAnsi="宋体" w:eastAsia="宋体" w:cs="宋体"/>
          <w:spacing w:val="6"/>
          <w:sz w:val="32"/>
          <w:szCs w:val="32"/>
          <w:lang w:bidi="ar"/>
        </w:rPr>
        <w:t>的有关规定</w:t>
      </w:r>
      <w:r>
        <w:rPr>
          <w:rFonts w:hint="eastAsia" w:ascii="宋体" w:hAnsi="宋体" w:eastAsia="宋体" w:cs="宋体"/>
          <w:spacing w:val="6"/>
          <w:kern w:val="2"/>
          <w:sz w:val="32"/>
          <w:szCs w:val="32"/>
          <w:vertAlign w:val="baseline"/>
          <w:lang w:val="en-US" w:eastAsia="zh-CN" w:bidi="ar"/>
          <w:woUserID w:val="3"/>
        </w:rPr>
        <w:t>。</w:t>
      </w:r>
    </w:p>
    <w:p w14:paraId="34596517">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jc w:val="center"/>
        <w:textAlignment w:val="baseline"/>
        <w:outlineLvl w:val="1"/>
        <w:rPr>
          <w:rFonts w:hint="eastAsia" w:ascii="宋体" w:hAnsi="宋体" w:eastAsia="宋体" w:cs="宋体"/>
          <w:b/>
          <w:bCs/>
          <w:color w:val="000000"/>
          <w:spacing w:val="-6"/>
          <w:kern w:val="0"/>
          <w:sz w:val="32"/>
          <w:szCs w:val="32"/>
          <w:vertAlign w:val="baseline"/>
          <w:woUserID w:val="3"/>
        </w:rPr>
      </w:pPr>
      <w:r>
        <w:rPr>
          <w:rFonts w:hint="eastAsia" w:ascii="宋体" w:hAnsi="宋体" w:eastAsia="宋体" w:cs="宋体"/>
          <w:b/>
          <w:bCs/>
          <w:color w:val="000000"/>
          <w:spacing w:val="-6"/>
          <w:kern w:val="0"/>
          <w:sz w:val="32"/>
          <w:szCs w:val="32"/>
          <w:vertAlign w:val="baseline"/>
          <w:lang w:val="en-US" w:eastAsia="zh-CN" w:bidi="ar"/>
          <w:woUserID w:val="3"/>
        </w:rPr>
        <w:t>7.2 导管布线</w:t>
      </w:r>
    </w:p>
    <w:p w14:paraId="48BE44AC">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woUserID w:val="3"/>
        </w:rPr>
      </w:pPr>
      <w:r>
        <w:rPr>
          <w:rFonts w:hint="eastAsia" w:ascii="宋体" w:hAnsi="宋体" w:eastAsia="宋体" w:cs="宋体"/>
          <w:spacing w:val="6"/>
          <w:kern w:val="2"/>
          <w:sz w:val="32"/>
          <w:szCs w:val="32"/>
          <w:vertAlign w:val="baseline"/>
          <w:lang w:val="en-US" w:eastAsia="zh-CN" w:bidi="ar"/>
          <w:woUserID w:val="3"/>
        </w:rPr>
        <w:t>7.2.1 住宅建筑套内配电线路布线可采用金属导管或塑料导管。暗敷的金属导管管壁厚度不应小于1.5mm, 暗敷的塑料导管管壁厚度不应小于2.0mm。</w:t>
      </w:r>
    </w:p>
    <w:p w14:paraId="1D4983B1">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firstLine="3"/>
        <w:jc w:val="both"/>
        <w:textAlignment w:val="baseline"/>
        <w:rPr>
          <w:rFonts w:hint="eastAsia" w:ascii="宋体" w:hAnsi="宋体" w:eastAsia="宋体" w:cs="宋体"/>
          <w:spacing w:val="6"/>
          <w:kern w:val="2"/>
          <w:sz w:val="32"/>
          <w:szCs w:val="32"/>
          <w:vertAlign w:val="baseline"/>
          <w:woUserID w:val="3"/>
        </w:rPr>
      </w:pPr>
      <w:r>
        <w:rPr>
          <w:rFonts w:hint="eastAsia" w:ascii="宋体" w:hAnsi="宋体" w:eastAsia="宋体" w:cs="宋体"/>
          <w:spacing w:val="6"/>
          <w:kern w:val="2"/>
          <w:sz w:val="32"/>
          <w:szCs w:val="32"/>
          <w:vertAlign w:val="baseline"/>
          <w:lang w:val="en-US" w:eastAsia="zh-CN" w:bidi="ar"/>
          <w:woUserID w:val="3"/>
        </w:rPr>
        <w:t>7.2.2 潮湿地区的住宅建筑及住宅建筑内的潮湿场所，配电线路布线宜采用管壁厚度不小于2.0mm的塑料导管或金属导管。明敷的金属导管应做防腐、防潮处理。</w:t>
      </w:r>
    </w:p>
    <w:p w14:paraId="71CD2CBC">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3"/>
        <w:jc w:val="both"/>
        <w:textAlignment w:val="baseline"/>
        <w:rPr>
          <w:rFonts w:hint="eastAsia" w:ascii="宋体" w:hAnsi="宋体" w:eastAsia="宋体" w:cs="宋体"/>
          <w:spacing w:val="6"/>
          <w:kern w:val="2"/>
          <w:sz w:val="32"/>
          <w:szCs w:val="32"/>
          <w:vertAlign w:val="baseline"/>
          <w:woUserID w:val="3"/>
        </w:rPr>
      </w:pPr>
      <w:r>
        <w:rPr>
          <w:rFonts w:hint="eastAsia" w:ascii="宋体" w:hAnsi="宋体" w:eastAsia="宋体" w:cs="宋体"/>
          <w:spacing w:val="6"/>
          <w:kern w:val="2"/>
          <w:sz w:val="32"/>
          <w:szCs w:val="32"/>
          <w:vertAlign w:val="baseline"/>
          <w:lang w:val="en-US" w:eastAsia="zh-CN" w:bidi="ar"/>
          <w:woUserID w:val="3"/>
        </w:rPr>
        <w:t>7.2.3 敷设在钢筋混凝土现浇楼板内的线缆保护导管最大外径不应大于楼板厚度的1/3,敷设在垫层的线缆保护导管最大外径不应大于垫层厚度的1/2。线缆保护导管暗敷时，外护层厚度不应小于15mm;消防设备线缆保护导管暗敷时，外护层厚度不应小于30mm。</w:t>
      </w:r>
    </w:p>
    <w:p w14:paraId="10FAA5DC">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1" w:firstLine="3"/>
        <w:jc w:val="both"/>
        <w:textAlignment w:val="baseline"/>
        <w:rPr>
          <w:rFonts w:hint="eastAsia" w:ascii="宋体" w:hAnsi="宋体" w:eastAsia="宋体" w:cs="宋体"/>
          <w:spacing w:val="6"/>
          <w:kern w:val="2"/>
          <w:sz w:val="32"/>
          <w:szCs w:val="32"/>
          <w:vertAlign w:val="baseline"/>
          <w:woUserID w:val="3"/>
        </w:rPr>
      </w:pPr>
      <w:r>
        <w:rPr>
          <w:rFonts w:hint="eastAsia" w:ascii="宋体" w:hAnsi="宋体" w:eastAsia="宋体" w:cs="宋体"/>
          <w:spacing w:val="6"/>
          <w:kern w:val="2"/>
          <w:sz w:val="32"/>
          <w:szCs w:val="32"/>
          <w:vertAlign w:val="baseline"/>
          <w:lang w:val="en-US" w:eastAsia="zh-CN" w:bidi="ar"/>
          <w:woUserID w:val="3"/>
        </w:rPr>
        <w:t>7.2.4 当电源线缆导管与采暖热水管同层敷设时，电源线缆导管宜敷设在采暖热水管的下面，并不应与采暖热水管平行敷设。电源线缆与采暖热水管相交处不应有接头。</w:t>
      </w:r>
    </w:p>
    <w:p w14:paraId="314DCB62">
      <w:pPr>
        <w:keepNext w:val="0"/>
        <w:keepLines w:val="0"/>
        <w:widowControl/>
        <w:suppressLineNumbers w:val="0"/>
        <w:kinsoku w:val="0"/>
        <w:autoSpaceDE w:val="0"/>
        <w:autoSpaceDN w:val="0"/>
        <w:adjustRightInd w:val="0"/>
        <w:snapToGrid w:val="0"/>
        <w:spacing w:before="133" w:beforeAutospacing="0" w:after="0" w:afterAutospacing="0" w:line="560" w:lineRule="exact"/>
        <w:ind w:left="0" w:right="284"/>
        <w:jc w:val="left"/>
        <w:textAlignment w:val="baseline"/>
        <w:rPr>
          <w:rFonts w:hint="eastAsia" w:ascii="宋体" w:hAnsi="宋体" w:eastAsia="宋体" w:cs="宋体"/>
          <w:spacing w:val="6"/>
          <w:kern w:val="2"/>
          <w:sz w:val="32"/>
          <w:szCs w:val="32"/>
          <w:vertAlign w:val="baseline"/>
          <w:woUserID w:val="3"/>
        </w:rPr>
      </w:pPr>
      <w:r>
        <w:rPr>
          <w:rFonts w:hint="eastAsia" w:ascii="宋体" w:hAnsi="宋体" w:eastAsia="宋体" w:cs="宋体"/>
          <w:spacing w:val="6"/>
          <w:kern w:val="2"/>
          <w:sz w:val="32"/>
          <w:szCs w:val="32"/>
          <w:vertAlign w:val="baseline"/>
          <w:lang w:val="en-US" w:eastAsia="zh-CN" w:bidi="ar"/>
          <w:woUserID w:val="3"/>
        </w:rPr>
        <w:t>7.2.5 非卫生间专用线缆导管严禁穿越卫生间。卫生间配电线缆导管严禁敷设在0区、1区，不宜敷设在2区。</w:t>
      </w:r>
    </w:p>
    <w:p w14:paraId="41992991">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7.2.6 净高小于2.5m 且经常有人停留的地下室，应采用导管或线槽布线。</w:t>
      </w:r>
    </w:p>
    <w:p w14:paraId="7C8D25DF">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jc w:val="center"/>
        <w:textAlignment w:val="baseline"/>
        <w:outlineLvl w:val="1"/>
        <w:rPr>
          <w:rFonts w:hint="eastAsia" w:ascii="宋体" w:hAnsi="宋体" w:eastAsia="宋体" w:cs="宋体"/>
          <w:b/>
          <w:bCs/>
          <w:color w:val="000000"/>
          <w:spacing w:val="-6"/>
          <w:kern w:val="0"/>
          <w:sz w:val="32"/>
          <w:szCs w:val="32"/>
          <w:vertAlign w:val="baseline"/>
          <w:woUserID w:val="3"/>
        </w:rPr>
      </w:pPr>
      <w:r>
        <w:rPr>
          <w:rFonts w:hint="eastAsia" w:ascii="宋体" w:hAnsi="宋体" w:eastAsia="宋体" w:cs="宋体"/>
          <w:b/>
          <w:bCs/>
          <w:color w:val="000000"/>
          <w:spacing w:val="-6"/>
          <w:kern w:val="0"/>
          <w:sz w:val="32"/>
          <w:szCs w:val="32"/>
          <w:vertAlign w:val="baseline"/>
          <w:lang w:val="en-US" w:eastAsia="zh-CN" w:bidi="ar"/>
          <w:woUserID w:val="3"/>
        </w:rPr>
        <w:t>7.3 电缆布线</w:t>
      </w:r>
    </w:p>
    <w:p w14:paraId="1BEF7D8E">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7.3.1 无铠装的电缆在住宅建筑内明敷时，水平敷设至地面的距离不宜小于2.5m;垂直敷设至地面的距离不宜小于1.8m。除明敷在电气专用房间外，当不能满足上述要求时，应有防止机械损伤的措施。</w:t>
      </w:r>
    </w:p>
    <w:p w14:paraId="35C420C8">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7.3.2  1kV以下电力电缆及控制电缆与1kV以上电力电缆在住 宅建筑内平行明敷设时，其净距不应小于150mm。</w:t>
      </w:r>
    </w:p>
    <w:p w14:paraId="18322D68">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jc w:val="center"/>
        <w:textAlignment w:val="baseline"/>
        <w:outlineLvl w:val="1"/>
        <w:rPr>
          <w:rFonts w:hint="eastAsia" w:ascii="宋体" w:hAnsi="宋体" w:eastAsia="宋体" w:cs="宋体"/>
          <w:b/>
          <w:bCs/>
          <w:color w:val="000000"/>
          <w:spacing w:val="-6"/>
          <w:kern w:val="0"/>
          <w:sz w:val="32"/>
          <w:szCs w:val="32"/>
          <w:vertAlign w:val="baseline"/>
          <w:woUserID w:val="3"/>
        </w:rPr>
      </w:pPr>
      <w:r>
        <w:rPr>
          <w:rFonts w:hint="eastAsia" w:ascii="宋体" w:hAnsi="宋体" w:eastAsia="宋体" w:cs="宋体"/>
          <w:b/>
          <w:bCs/>
          <w:color w:val="000000"/>
          <w:spacing w:val="-6"/>
          <w:kern w:val="0"/>
          <w:sz w:val="32"/>
          <w:szCs w:val="32"/>
          <w:vertAlign w:val="baseline"/>
          <w:lang w:val="en-US" w:eastAsia="zh-CN" w:bidi="ar"/>
          <w:woUserID w:val="3"/>
        </w:rPr>
        <w:t>7.4 电缆桥架布线</w:t>
      </w:r>
    </w:p>
    <w:p w14:paraId="7F869612">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7.4.1 电缆桥架可适用于民用建筑正常环境的室内外场所的电缆或电线敷设。</w:t>
      </w:r>
    </w:p>
    <w:p w14:paraId="05AA8015">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7.4.2 在有腐蚀或特别潮湿的场所采用电缆桥架布线时，应根据腐蚀介质的不同采用塑料桥架或采取相应防护措施的钢制桥架。</w:t>
      </w:r>
    </w:p>
    <w:p w14:paraId="002EA9BD">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7.4.3 电缆桥架水平敷设时，底边距地高度不宜低于2.2m。除敷设在配电间或竖井内，垂直敷设的线路1.8m以下应加防护措施 。</w:t>
      </w:r>
    </w:p>
    <w:p w14:paraId="7FCC8BD2">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7.4.4 电缆桥架水平敷设时，宜按荷载曲线选取最佳跨距进行支撑，跨距宜为1.5m～3m。垂直敷设时，其固定点间距不宜大于2m。</w:t>
      </w:r>
    </w:p>
    <w:p w14:paraId="0459C536">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7.4.5 电缆桥架多层敷设时，层间距离应满足敷设和维护需要，并符合下列规定：</w:t>
      </w:r>
    </w:p>
    <w:p w14:paraId="61A979FF">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1 电力电缆的电缆桥架间距不应小于0.3m;</w:t>
      </w:r>
    </w:p>
    <w:p w14:paraId="017F4BEF">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2 电信电缆与电力电缆的电缆桥架间距不宜小于0.5m, 当有屏蔽盖板时可减少到0.3m;</w:t>
      </w:r>
    </w:p>
    <w:p w14:paraId="6F64731A">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3 控制电缆的电缆桥架间距不应小于0.2m;</w:t>
      </w:r>
    </w:p>
    <w:p w14:paraId="0709043D">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4 最上层的电缆桥架的上部距顶棚、楼板或梁等不宜小于0.15m。</w:t>
      </w:r>
    </w:p>
    <w:p w14:paraId="66D99DEE">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7.4.6 当两组或两组以上电缆桥架在同一高度平行敷设时，各相邻电缆桥架间应预留维护、检修距离，且不宜小于0.2m。</w:t>
      </w:r>
    </w:p>
    <w:p w14:paraId="57622E5D">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7.4.7 在电缆桥架内可无间距敷设电缆。在托盘内敷设电缆时，电缆总截面积与托盘内横断面积的比值不应大于40%。</w:t>
      </w:r>
    </w:p>
    <w:p w14:paraId="50557B0C">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7.4.8 槽盒内电缆的总截面积(包括外护层)不应超过槽盒内截面积的40%,且电缆根数不宜超过30根。</w:t>
      </w:r>
    </w:p>
    <w:p w14:paraId="17B4704A">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7.4.9 控制和信号线路可视为非载流导体，其电缆或电线的总截面积不应超过槽盒内截面积的50%。</w:t>
      </w:r>
    </w:p>
    <w:p w14:paraId="3D04EE57">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7.4.10 电线或电缆在槽盒内不宜设置接头。当确需在槽盒内设置接头时，应采用专用连接件。</w:t>
      </w:r>
    </w:p>
    <w:p w14:paraId="5F584306">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7.4.11 消防电缆宜采用独立桥架敷设。</w:t>
      </w:r>
    </w:p>
    <w:p w14:paraId="1A19B3D5">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woUserID w:val="3"/>
        </w:rPr>
      </w:pPr>
      <w:r>
        <w:rPr>
          <w:rFonts w:hint="eastAsia" w:ascii="宋体" w:hAnsi="宋体" w:eastAsia="宋体" w:cs="宋体"/>
          <w:spacing w:val="6"/>
          <w:kern w:val="2"/>
          <w:sz w:val="32"/>
          <w:szCs w:val="32"/>
          <w:vertAlign w:val="baseline"/>
          <w:lang w:val="en-US" w:eastAsia="zh-CN" w:bidi="ar"/>
          <w:woUserID w:val="3"/>
        </w:rPr>
        <w:t>7.4.12 下列不同电压、不同用途的电缆，不宜敷设在同一层或同一个桥架内：</w:t>
      </w:r>
    </w:p>
    <w:p w14:paraId="6A3594A4">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1  1kV以上和1kV以下的电缆；</w:t>
      </w:r>
    </w:p>
    <w:p w14:paraId="22A0F3EB">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2 向同一负荷供电的两回路电源电缆；</w:t>
      </w:r>
    </w:p>
    <w:p w14:paraId="4B640179">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3 应急照明和其他照明的电缆；</w:t>
      </w:r>
    </w:p>
    <w:p w14:paraId="18048C45">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4 电力和电信电缆。</w:t>
      </w:r>
    </w:p>
    <w:p w14:paraId="02A4700C">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7.4.13 电缆桥架不宜敷设在气体管道和热力管道的上方及液体管道的下方。当不能满足上述要求时，应采取防水、隔热措施。</w:t>
      </w:r>
    </w:p>
    <w:p w14:paraId="2D99A071">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0"/>
        <w:jc w:val="center"/>
        <w:textAlignment w:val="baseline"/>
        <w:outlineLvl w:val="1"/>
        <w:rPr>
          <w:rFonts w:hint="eastAsia" w:ascii="宋体" w:hAnsi="宋体" w:eastAsia="宋体" w:cs="宋体"/>
          <w:b/>
          <w:bCs/>
          <w:color w:val="000000"/>
          <w:spacing w:val="-6"/>
          <w:kern w:val="0"/>
          <w:sz w:val="32"/>
          <w:szCs w:val="32"/>
          <w:vertAlign w:val="baseline"/>
          <w:woUserID w:val="3"/>
        </w:rPr>
      </w:pPr>
      <w:r>
        <w:rPr>
          <w:rFonts w:hint="eastAsia" w:ascii="宋体" w:hAnsi="宋体" w:eastAsia="宋体" w:cs="宋体"/>
          <w:b/>
          <w:bCs/>
          <w:color w:val="000000"/>
          <w:spacing w:val="-6"/>
          <w:kern w:val="0"/>
          <w:sz w:val="32"/>
          <w:szCs w:val="32"/>
          <w:vertAlign w:val="baseline"/>
          <w:lang w:val="en-US" w:eastAsia="zh-CN" w:bidi="ar"/>
          <w:woUserID w:val="3"/>
        </w:rPr>
        <w:t>7.5 电气竖井内布线</w:t>
      </w:r>
    </w:p>
    <w:p w14:paraId="2DF37E8D">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7.5.1 电气竖井内布线可适用于多层和高层建筑内强电及弱电垂直干线的敷设。可采用金属导管、电缆桥架及母线等布线方式。强电竖井内电缆布线，除有特殊要求外宜优先采用梯架布线。</w:t>
      </w:r>
    </w:p>
    <w:p w14:paraId="3F87DEAF">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7.5.2 当暗敷设的竖向配电线路，保护导管外径超过墙厚的1/2或多根电缆并排穿梁对结构体有影响时，宜采用竖井布线。竖井的位置和数量应根据建筑物规模，各支线供电半径及建筑物的变形缝位置和防火分区等因素确定，并应符合下列规定：</w:t>
      </w:r>
    </w:p>
    <w:p w14:paraId="7F522730">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1 不应和电梯井、管道井共用同一竖井；</w:t>
      </w:r>
    </w:p>
    <w:p w14:paraId="4E3D5297">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2 不应贴邻烟道、热力管道及其他散热量大或潮湿的设施。</w:t>
      </w:r>
    </w:p>
    <w:p w14:paraId="3F295EBF">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7.5.3 竖井的井壁应为耐火极限不低于1h 的非燃烧体。竖井在每层楼应设维护检修门并应开向公共走廊，其耐火等级不应低于丙级。竖井内各层钢筋混凝土楼板或钢结构楼板应做防火密封隔离，线缆穿过楼板或井壁应采用与楼板、井壁耐火等级相同的防火堵料封堵。</w:t>
      </w:r>
    </w:p>
    <w:p w14:paraId="71B5796D">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7.5.4 竖井内垂直布线应根据下列因素确定：</w:t>
      </w:r>
    </w:p>
    <w:p w14:paraId="70CC3785">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1 顶部最大变位和层间变位对干线的影响；</w:t>
      </w:r>
    </w:p>
    <w:p w14:paraId="550F6211">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2 电线、电缆及金属保护导管、罩等自重所带来的荷重影 响及其固定方式；</w:t>
      </w:r>
    </w:p>
    <w:p w14:paraId="14E2CA97">
      <w:pPr>
        <w:widowControl/>
        <w:kinsoku w:val="0"/>
        <w:autoSpaceDE w:val="0"/>
        <w:autoSpaceDN w:val="0"/>
        <w:adjustRightInd w:val="0"/>
        <w:snapToGrid w:val="0"/>
        <w:spacing w:line="560" w:lineRule="exact"/>
        <w:ind w:right="85" w:firstLine="664" w:firstLineChars="200"/>
        <w:textAlignment w:val="baseline"/>
        <w:rPr>
          <w:rFonts w:hint="eastAsia" w:ascii="宋体" w:hAnsi="宋体" w:eastAsia="宋体" w:cs="宋体"/>
          <w:spacing w:val="6"/>
          <w:sz w:val="32"/>
          <w:szCs w:val="32"/>
          <w:lang w:bidi="ar"/>
        </w:rPr>
      </w:pPr>
      <w:r>
        <w:rPr>
          <w:rFonts w:hint="eastAsia" w:ascii="宋体" w:hAnsi="宋体" w:eastAsia="宋体" w:cs="宋体"/>
          <w:spacing w:val="6"/>
          <w:sz w:val="32"/>
          <w:szCs w:val="32"/>
          <w:lang w:val="en-US" w:eastAsia="zh-CN" w:bidi="ar"/>
        </w:rPr>
        <w:t>3 垂直干线与分支干线高低压不应在同一通道线的连接方式。</w:t>
      </w:r>
    </w:p>
    <w:p w14:paraId="4424D0E6">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7.5.5 强电和弱电线路，宜分别设置竖井。当受条件限制必须合用时，强电和弱电线路应分别布置在竖井两侧。</w:t>
      </w:r>
    </w:p>
    <w:p w14:paraId="3194C4F1">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7.5.6 竖井内应设电气照明及单相三孔电源插座。</w:t>
      </w:r>
    </w:p>
    <w:p w14:paraId="41F73BEB">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7.5.7 竖井内应设置接地端子或接地干线。</w:t>
      </w:r>
    </w:p>
    <w:p w14:paraId="4DDE75EA">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eastAsia" w:ascii="宋体" w:hAnsi="宋体" w:eastAsia="宋体" w:cs="宋体"/>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7.5.8 竖井内不应有与其无关的管道通过。</w:t>
      </w:r>
    </w:p>
    <w:p w14:paraId="1F9C6777">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default" w:ascii="仿宋" w:hAnsi="仿宋" w:eastAsia="仿宋" w:cs="仿宋"/>
          <w:spacing w:val="6"/>
          <w:kern w:val="2"/>
          <w:sz w:val="32"/>
          <w:szCs w:val="32"/>
          <w:vertAlign w:val="baseline"/>
          <w:woUserID w:val="3"/>
        </w:rPr>
      </w:pPr>
      <w:r>
        <w:rPr>
          <w:rFonts w:hint="eastAsia" w:ascii="宋体" w:hAnsi="宋体" w:eastAsia="宋体" w:cs="宋体"/>
          <w:spacing w:val="6"/>
          <w:kern w:val="2"/>
          <w:sz w:val="32"/>
          <w:szCs w:val="32"/>
          <w:vertAlign w:val="baseline"/>
          <w:lang w:val="en-US" w:eastAsia="zh-CN" w:bidi="ar"/>
          <w:woUserID w:val="3"/>
        </w:rPr>
        <w:t>7.5.9 竖井内各类布线应分别符合本章各节的有关规定。</w:t>
      </w:r>
    </w:p>
    <w:p w14:paraId="752A737A">
      <w:pPr>
        <w:keepNext w:val="0"/>
        <w:keepLines w:val="0"/>
        <w:widowControl/>
        <w:suppressLineNumbers w:val="0"/>
        <w:kinsoku w:val="0"/>
        <w:autoSpaceDE w:val="0"/>
        <w:autoSpaceDN w:val="0"/>
        <w:adjustRightInd w:val="0"/>
        <w:snapToGrid w:val="0"/>
        <w:spacing w:before="0" w:beforeAutospacing="0" w:after="0" w:afterAutospacing="0" w:line="560" w:lineRule="exact"/>
        <w:ind w:left="0" w:right="14" w:firstLine="3"/>
        <w:jc w:val="both"/>
        <w:textAlignment w:val="baseline"/>
        <w:rPr>
          <w:rFonts w:hint="default" w:ascii="仿宋" w:hAnsi="仿宋" w:eastAsia="仿宋" w:cs="仿宋"/>
          <w:spacing w:val="6"/>
          <w:kern w:val="2"/>
          <w:sz w:val="32"/>
          <w:szCs w:val="32"/>
          <w:vertAlign w:val="baseline"/>
          <w:lang w:val="en-US" w:eastAsia="zh-CN" w:bidi="ar"/>
          <w:woUserID w:val="3"/>
        </w:rPr>
      </w:pPr>
      <w:r>
        <w:rPr>
          <w:rFonts w:hint="eastAsia" w:ascii="宋体" w:hAnsi="宋体" w:eastAsia="宋体" w:cs="宋体"/>
          <w:spacing w:val="6"/>
          <w:kern w:val="2"/>
          <w:sz w:val="32"/>
          <w:szCs w:val="32"/>
          <w:vertAlign w:val="baseline"/>
          <w:lang w:val="en-US" w:eastAsia="zh-CN" w:bidi="ar"/>
          <w:woUserID w:val="3"/>
        </w:rPr>
        <w:t>7.5.10 电缆孔洞封堵应严实可靠，不应有明显的裂缝和可见的孔隙，堵体表面平整，孔洞较大者应加耐火衬板后再进行封堵。有机防火堵料封堵不应有透光、漏风、龟裂、脱落、硬化现象；无机防火堵料封堵不应有粉化、开裂等缺陷。防火包的堆砌应密实牢固，外观应整齐，不应透光。</w:t>
      </w:r>
    </w:p>
    <w:p w14:paraId="40809074">
      <w:pPr>
        <w:keepNext w:val="0"/>
        <w:keepLines w:val="0"/>
        <w:widowControl w:val="0"/>
        <w:suppressLineNumbers w:val="0"/>
        <w:spacing w:before="0" w:beforeAutospacing="0" w:after="0" w:afterAutospacing="0" w:line="560" w:lineRule="exact"/>
        <w:ind w:left="0" w:right="13"/>
        <w:jc w:val="both"/>
        <w:rPr>
          <w:rFonts w:hint="eastAsia" w:ascii="宋体" w:hAnsi="宋体" w:eastAsia="宋体" w:cs="宋体"/>
          <w:spacing w:val="6"/>
          <w:kern w:val="2"/>
          <w:sz w:val="32"/>
          <w:szCs w:val="32"/>
          <w:woUserID w:val="3"/>
        </w:rPr>
      </w:pPr>
      <w:r>
        <w:rPr>
          <w:rFonts w:hint="eastAsia" w:ascii="宋体" w:hAnsi="宋体" w:eastAsia="宋体" w:cs="宋体"/>
          <w:spacing w:val="6"/>
          <w:kern w:val="2"/>
          <w:sz w:val="32"/>
          <w:szCs w:val="32"/>
          <w:lang w:val="en-US" w:eastAsia="zh-CN" w:bidi="ar"/>
          <w:woUserID w:val="3"/>
        </w:rPr>
        <w:t>7.5.11 建筑内的竖井应符合下列规定：</w:t>
      </w:r>
    </w:p>
    <w:p w14:paraId="37BF57D2">
      <w:pPr>
        <w:keepNext w:val="0"/>
        <w:keepLines w:val="0"/>
        <w:widowControl w:val="0"/>
        <w:suppressLineNumbers w:val="0"/>
        <w:spacing w:before="0" w:beforeAutospacing="0" w:after="0" w:afterAutospacing="0" w:line="560" w:lineRule="exact"/>
        <w:ind w:left="0" w:right="13" w:firstLine="664" w:firstLineChars="200"/>
        <w:jc w:val="both"/>
        <w:rPr>
          <w:rFonts w:hint="eastAsia" w:ascii="宋体" w:hAnsi="宋体" w:eastAsia="宋体" w:cs="宋体"/>
          <w:spacing w:val="6"/>
          <w:kern w:val="2"/>
          <w:sz w:val="32"/>
          <w:szCs w:val="32"/>
          <w:woUserID w:val="3"/>
        </w:rPr>
      </w:pPr>
      <w:r>
        <w:rPr>
          <w:rFonts w:hint="eastAsia" w:ascii="宋体" w:hAnsi="宋体" w:eastAsia="宋体" w:cs="宋体"/>
          <w:spacing w:val="6"/>
          <w:kern w:val="2"/>
          <w:sz w:val="32"/>
          <w:szCs w:val="32"/>
          <w:lang w:val="en-US" w:eastAsia="zh-CN" w:bidi="ar"/>
          <w:woUserID w:val="3"/>
        </w:rPr>
        <w:t>1 电缆井应独立设置。井壁的耐火极限不应低于1.00h,井壁上的检查门应采用丙级防火门；</w:t>
      </w:r>
    </w:p>
    <w:p w14:paraId="7DE56C5D">
      <w:pPr>
        <w:keepNext w:val="0"/>
        <w:keepLines w:val="0"/>
        <w:widowControl w:val="0"/>
        <w:suppressLineNumbers w:val="0"/>
        <w:spacing w:before="0" w:beforeAutospacing="0" w:after="0" w:afterAutospacing="0" w:line="560" w:lineRule="exact"/>
        <w:ind w:left="0" w:right="13" w:firstLine="664" w:firstLineChars="200"/>
        <w:jc w:val="both"/>
        <w:rPr>
          <w:rFonts w:hint="eastAsia" w:ascii="宋体" w:hAnsi="宋体" w:eastAsia="宋体" w:cs="宋体"/>
          <w:spacing w:val="6"/>
          <w:kern w:val="2"/>
          <w:sz w:val="32"/>
          <w:szCs w:val="32"/>
          <w:woUserID w:val="3"/>
        </w:rPr>
      </w:pPr>
      <w:r>
        <w:rPr>
          <w:rFonts w:hint="eastAsia" w:ascii="宋体" w:hAnsi="宋体" w:eastAsia="宋体" w:cs="宋体"/>
          <w:spacing w:val="6"/>
          <w:kern w:val="2"/>
          <w:sz w:val="32"/>
          <w:szCs w:val="32"/>
          <w:lang w:val="en-US" w:eastAsia="zh-CN" w:bidi="ar"/>
          <w:woUserID w:val="3"/>
        </w:rPr>
        <w:t>2 建筑内的电缆井、管道井应在每层楼板处采用不低于楼板耐火极限的不燃材料或防火封堵材料封堵；</w:t>
      </w:r>
    </w:p>
    <w:p w14:paraId="762F746D">
      <w:pPr>
        <w:keepNext w:val="0"/>
        <w:keepLines w:val="0"/>
        <w:widowControl w:val="0"/>
        <w:suppressLineNumbers w:val="0"/>
        <w:spacing w:before="0" w:beforeAutospacing="0" w:after="0" w:afterAutospacing="0" w:line="560" w:lineRule="exact"/>
        <w:ind w:left="0" w:right="13" w:firstLine="664" w:firstLineChars="200"/>
        <w:jc w:val="both"/>
        <w:rPr>
          <w:rFonts w:hint="eastAsia" w:ascii="宋体" w:hAnsi="宋体" w:eastAsia="宋体" w:cs="宋体"/>
          <w:spacing w:val="6"/>
          <w:kern w:val="2"/>
          <w:sz w:val="32"/>
          <w:szCs w:val="32"/>
          <w:woUserID w:val="3"/>
        </w:rPr>
      </w:pPr>
      <w:r>
        <w:rPr>
          <w:rFonts w:hint="eastAsia" w:ascii="宋体" w:hAnsi="宋体" w:eastAsia="宋体" w:cs="宋体"/>
          <w:spacing w:val="6"/>
          <w:kern w:val="2"/>
          <w:sz w:val="32"/>
          <w:szCs w:val="32"/>
          <w:lang w:val="en-US" w:eastAsia="zh-CN" w:bidi="ar"/>
          <w:woUserID w:val="3"/>
        </w:rPr>
        <w:t>3 建筑内的电缆井、管道井与房间、走道等相连通的孔隙应采用防火封堵材料封堵。</w:t>
      </w:r>
    </w:p>
    <w:p w14:paraId="274C96A4">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spacing w:val="6"/>
          <w:kern w:val="2"/>
          <w:sz w:val="32"/>
          <w:szCs w:val="32"/>
          <w:woUserID w:val="3"/>
        </w:rPr>
      </w:pPr>
      <w:r>
        <w:rPr>
          <w:rFonts w:hint="eastAsia" w:ascii="宋体" w:hAnsi="宋体" w:eastAsia="宋体" w:cs="宋体"/>
          <w:spacing w:val="6"/>
          <w:kern w:val="2"/>
          <w:sz w:val="32"/>
          <w:szCs w:val="32"/>
          <w:lang w:val="en-US" w:eastAsia="zh-CN" w:bidi="ar"/>
          <w:woUserID w:val="3"/>
        </w:rPr>
        <w:t>7.5.12 防火封堵组件的防火、防烟和隔热性能不应低于封堵部位建筑构件或结构的防火、防烟和隔热性能要求，在正常使用和火灾条件下，应能防止发生脱落、移位、变形和开裂。</w:t>
      </w:r>
    </w:p>
    <w:p w14:paraId="7C22CF96">
      <w:pPr>
        <w:spacing w:line="560" w:lineRule="exact"/>
        <w:rPr>
          <w:rFonts w:hint="default" w:ascii="仿宋" w:hAnsi="仿宋" w:eastAsia="仿宋" w:cs="仿宋"/>
          <w:spacing w:val="6"/>
          <w:kern w:val="2"/>
          <w:sz w:val="32"/>
          <w:szCs w:val="32"/>
          <w:u w:val="single"/>
          <w:woUserID w:val="3"/>
        </w:rPr>
        <w:sectPr>
          <w:pgSz w:w="11906" w:h="16838"/>
          <w:pgMar w:top="1440" w:right="1800" w:bottom="1440" w:left="1800" w:header="851" w:footer="992" w:gutter="0"/>
          <w:cols w:space="425" w:num="1"/>
          <w:docGrid w:type="lines" w:linePitch="312" w:charSpace="0"/>
        </w:sectPr>
      </w:pPr>
    </w:p>
    <w:p w14:paraId="47CC95CC">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val="en-US" w:eastAsia="zh-CN" w:bidi="ar"/>
        </w:rPr>
      </w:pPr>
      <w:bookmarkStart w:id="7" w:name="_Toc7877"/>
      <w:r>
        <w:rPr>
          <w:rFonts w:hint="eastAsia" w:ascii="宋体" w:hAnsi="宋体" w:eastAsia="宋体" w:cs="宋体"/>
          <w:b/>
          <w:bCs/>
          <w:color w:val="000000"/>
          <w:spacing w:val="-6"/>
          <w:kern w:val="0"/>
          <w:sz w:val="32"/>
          <w:szCs w:val="32"/>
          <w:lang w:val="en-US" w:eastAsia="zh-CN" w:bidi="ar"/>
        </w:rPr>
        <w:t>8 建筑电气防火</w:t>
      </w:r>
      <w:bookmarkEnd w:id="7"/>
    </w:p>
    <w:p w14:paraId="1AECF4B0">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3"/>
        </w:rPr>
      </w:pPr>
      <w:r>
        <w:rPr>
          <w:rFonts w:hint="eastAsia" w:ascii="宋体" w:hAnsi="宋体" w:eastAsia="宋体" w:cs="宋体"/>
          <w:b/>
          <w:bCs/>
          <w:color w:val="000000"/>
          <w:spacing w:val="-6"/>
          <w:kern w:val="0"/>
          <w:sz w:val="32"/>
          <w:szCs w:val="32"/>
          <w:lang w:val="en-US" w:eastAsia="zh-CN" w:bidi="ar"/>
          <w:woUserID w:val="3"/>
        </w:rPr>
        <w:t>8</w:t>
      </w:r>
      <w:r>
        <w:rPr>
          <w:rFonts w:hint="eastAsia" w:ascii="宋体" w:hAnsi="宋体" w:eastAsia="宋体" w:cs="宋体"/>
          <w:b/>
          <w:bCs/>
          <w:color w:val="000000"/>
          <w:spacing w:val="-6"/>
          <w:kern w:val="0"/>
          <w:sz w:val="32"/>
          <w:szCs w:val="32"/>
          <w:lang w:eastAsia="zh" w:bidi="ar"/>
          <w:woUserID w:val="3"/>
        </w:rPr>
        <w:t>.1  一般规定</w:t>
      </w:r>
    </w:p>
    <w:p w14:paraId="770232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8.1.1 住宅配用电工程的建筑电气防火应贯穿设计、施工、验收和运维全过程，并应与建筑防火、消防设施、智能化系统及物业运维管理协同实施。</w:t>
      </w:r>
    </w:p>
    <w:p w14:paraId="1A6BE66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8.1.2 建筑电气防火应重点关注配电房、电气竖井、成束电缆敷设区域、集中表箱、地下车库、电动汽车充电区和电动自行车集中停放充电场所等部位。</w:t>
      </w:r>
    </w:p>
    <w:p w14:paraId="657971D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8.1.3 电气防火措施应与过负荷保护、短路保护、接地故障保护、剩余电流保护和电气火灾监控措施协调配置，严禁以电气火灾监测、预警等辅助措施替代短路、过载、接地故障、剩余电流等基础电气保护装置。</w:t>
      </w:r>
    </w:p>
    <w:p w14:paraId="4A5D805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8.1.4 高层建筑、地下空间中的配电箱、集中表箱、电缆分支箱等重要部位均要配备防火灭火措施。</w:t>
      </w:r>
    </w:p>
    <w:p w14:paraId="037E13F7">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3"/>
        </w:rPr>
      </w:pPr>
      <w:r>
        <w:rPr>
          <w:rFonts w:hint="eastAsia" w:ascii="宋体" w:hAnsi="宋体" w:eastAsia="宋体" w:cs="宋体"/>
          <w:b/>
          <w:bCs/>
          <w:color w:val="000000"/>
          <w:spacing w:val="-6"/>
          <w:kern w:val="0"/>
          <w:sz w:val="32"/>
          <w:szCs w:val="32"/>
          <w:lang w:val="en-US" w:eastAsia="zh-CN" w:bidi="ar"/>
          <w:woUserID w:val="3"/>
        </w:rPr>
        <w:t>8</w:t>
      </w:r>
      <w:r>
        <w:rPr>
          <w:rFonts w:hint="eastAsia" w:ascii="宋体" w:hAnsi="宋体" w:eastAsia="宋体" w:cs="宋体"/>
          <w:b/>
          <w:bCs/>
          <w:color w:val="000000"/>
          <w:spacing w:val="-6"/>
          <w:kern w:val="0"/>
          <w:sz w:val="32"/>
          <w:szCs w:val="32"/>
          <w:lang w:eastAsia="zh" w:bidi="ar"/>
          <w:woUserID w:val="3"/>
        </w:rPr>
        <w:t>.2  配电设施防火</w:t>
      </w:r>
    </w:p>
    <w:p w14:paraId="69704E3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8.2.1 配电房、开关站、环网室、变压器室、低压配电室等场所的设置，应满足防火分隔、通风散热、防水防潮、运行检修和消防救援要求。配电变压器室内温度不应超过40℃；超过时，应采取通风、制冷或其他降温措施。</w:t>
      </w:r>
    </w:p>
    <w:p w14:paraId="6331D8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8.2.2 设置在住宅建筑内或贴邻住宅建筑设置的配电设施，不应降低建筑防火分隔和安全疏散性能；设备布置应避免对住宅公共空间和消防救援造成不利影响。</w:t>
      </w:r>
    </w:p>
    <w:p w14:paraId="508781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8.2.3 配电房内不应堆放可燃、易燃、易爆物品，不应设置与配用电运行、消防安全和运维管理无关的管线及储物空间。配电装置周边应保持必要的操作、检修和散热空间。</w:t>
      </w:r>
    </w:p>
    <w:p w14:paraId="03AAC3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8.2.4 配电柜、计量柜、补偿柜、控制柜等设备的导体连接部位应接触可靠，并应采取防松动、防接触不良和防异常发热措施，降低局部过热和电弧故障风险。</w:t>
      </w:r>
    </w:p>
    <w:p w14:paraId="049A210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8.2.5 电缆、母线、桥架和导管穿越配电房墙体、楼板及其他防火分隔构件时，应进行防火封堵，并应便于后期检查和维护。</w:t>
      </w:r>
    </w:p>
    <w:p w14:paraId="473274A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8.2.6 配电变压器、配电装置和裸导体正上方不应布置灯具；灯具邻近裸导体设置时，其水平净距不应小于1.0 m。</w:t>
      </w:r>
    </w:p>
    <w:p w14:paraId="7F356804">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val="en-US" w:eastAsia="zh" w:bidi="ar"/>
          <w:woUserID w:val="3"/>
        </w:rPr>
      </w:pPr>
      <w:r>
        <w:rPr>
          <w:rFonts w:hint="eastAsia" w:ascii="宋体" w:hAnsi="宋体" w:eastAsia="宋体" w:cs="宋体"/>
          <w:b/>
          <w:bCs/>
          <w:color w:val="000000"/>
          <w:spacing w:val="-6"/>
          <w:kern w:val="0"/>
          <w:sz w:val="32"/>
          <w:szCs w:val="32"/>
          <w:lang w:val="en-US" w:eastAsia="zh-CN" w:bidi="ar"/>
          <w:woUserID w:val="3"/>
        </w:rPr>
        <w:t>8</w:t>
      </w:r>
      <w:r>
        <w:rPr>
          <w:rFonts w:hint="eastAsia" w:ascii="宋体" w:hAnsi="宋体" w:eastAsia="宋体" w:cs="宋体"/>
          <w:b/>
          <w:bCs/>
          <w:color w:val="000000"/>
          <w:spacing w:val="-6"/>
          <w:kern w:val="0"/>
          <w:sz w:val="32"/>
          <w:szCs w:val="32"/>
          <w:lang w:val="en-US" w:eastAsia="zh" w:bidi="ar"/>
          <w:woUserID w:val="3"/>
        </w:rPr>
        <w:t>.3  配电线路与电缆敷设防火</w:t>
      </w:r>
    </w:p>
    <w:p w14:paraId="489AE73F">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.3.1 住宅配用电线路应结合负荷电流、敷设环境、敷设方式、环境温度、电压损失、短路热稳定和防火要求，合理选择导体截面和电线电缆类型。</w:t>
      </w:r>
    </w:p>
    <w:p w14:paraId="3C49FF1D">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.3.2 高层住宅公共配电干线、电气竖井内成束敷设线路、地下车库及人员疏散相关区域的电线电缆，应根据场所火灾风险选用阻燃、低烟低毒或低烟无卤电线电缆；消防用电设备线路应满足火灾时持续供电要求。</w:t>
      </w:r>
    </w:p>
    <w:p w14:paraId="3309393E">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.3.3 电线电缆、桥架、线槽和导管穿越防火分区、防火墙、楼板、竖井壁等部位时，应采取防火封堵措施，防止火焰和烟气蔓延。</w:t>
      </w:r>
    </w:p>
    <w:p w14:paraId="6F1E901B">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.3.4 消防用电设备线路与非消防用电线路不宜共用同一桥架或线槽；确需共用时，应采取可靠隔离措施，并保证消防用电设备线路的耐火性能。</w:t>
      </w:r>
    </w:p>
    <w:p w14:paraId="3641BD41">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.3.5 导线连接点、端子、母排、电缆终端头等易发热部位应连接可靠，并应便于检查、检测和维护。</w:t>
      </w:r>
    </w:p>
    <w:p w14:paraId="71A4CFFC">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3"/>
        </w:rPr>
      </w:pPr>
      <w:r>
        <w:rPr>
          <w:rFonts w:hint="eastAsia" w:ascii="宋体" w:hAnsi="宋体" w:eastAsia="宋体" w:cs="宋体"/>
          <w:b/>
          <w:bCs/>
          <w:color w:val="000000"/>
          <w:spacing w:val="-6"/>
          <w:kern w:val="0"/>
          <w:sz w:val="32"/>
          <w:szCs w:val="32"/>
          <w:lang w:val="en-US" w:eastAsia="zh-CN" w:bidi="ar"/>
          <w:woUserID w:val="3"/>
        </w:rPr>
        <w:t>8</w:t>
      </w:r>
      <w:r>
        <w:rPr>
          <w:rFonts w:hint="eastAsia" w:ascii="宋体" w:hAnsi="宋体" w:eastAsia="宋体" w:cs="宋体"/>
          <w:b/>
          <w:bCs/>
          <w:color w:val="000000"/>
          <w:spacing w:val="-6"/>
          <w:kern w:val="0"/>
          <w:sz w:val="32"/>
          <w:szCs w:val="32"/>
          <w:lang w:eastAsia="zh" w:bidi="ar"/>
          <w:woUserID w:val="3"/>
        </w:rPr>
        <w:t>.4  电气竖井、表箱及重点部位监测</w:t>
      </w:r>
    </w:p>
    <w:p w14:paraId="21BFAE41">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.4.1 电气竖井应独立设置，不应与燃气、热力、给排水等管井混用；井内不应敷设与电气系统无关的管线，不应堆放杂物。</w:t>
      </w:r>
    </w:p>
    <w:p w14:paraId="09683C01">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.4.2 电气竖井内的电缆、母线槽、桥架、配电箱和计量箱应布置有序，并应满足检修、巡检、散热和隐患排查要求。竖井楼板孔洞及管线穿越处应进行防火封堵。两条及以下封闭式母线的井道净宽不应小于1.2 m，三条封闭式母线的井道净宽不应小于1.5 m。11层以上住宅建筑利用电气竖井通道作为检修空间时，设备检修操作净深度不应小于0.8 m。</w:t>
      </w:r>
    </w:p>
    <w:p w14:paraId="157C6552">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.4.3 下列火灾风险较高或日常巡检不便的场所和部位，宜设置电气火灾早期特征感知装置：</w:t>
      </w:r>
    </w:p>
    <w:p w14:paraId="5FC69A2F">
      <w:pPr>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 xml:space="preserve">1 </w:t>
      </w:r>
      <w:r>
        <w:rPr>
          <w:rFonts w:hint="eastAsia" w:ascii="宋体" w:hAnsi="宋体" w:eastAsia="宋体" w:cs="宋体"/>
          <w:sz w:val="32"/>
          <w:szCs w:val="32"/>
        </w:rPr>
        <w:t>高层住宅电气竖井；</w:t>
      </w:r>
    </w:p>
    <w:p w14:paraId="7D44BA5A">
      <w:pPr>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 xml:space="preserve">2 </w:t>
      </w:r>
      <w:r>
        <w:rPr>
          <w:rFonts w:hint="eastAsia" w:ascii="宋体" w:hAnsi="宋体" w:eastAsia="宋体" w:cs="宋体"/>
          <w:sz w:val="32"/>
          <w:szCs w:val="32"/>
        </w:rPr>
        <w:t>集中表箱、配电箱柜、电缆分支箱等设备集中设置区域；</w:t>
      </w:r>
    </w:p>
    <w:p w14:paraId="17F9626D">
      <w:pPr>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 xml:space="preserve">3 </w:t>
      </w:r>
      <w:r>
        <w:rPr>
          <w:rFonts w:hint="eastAsia" w:ascii="宋体" w:hAnsi="宋体" w:eastAsia="宋体" w:cs="宋体"/>
          <w:sz w:val="32"/>
          <w:szCs w:val="32"/>
        </w:rPr>
        <w:t>电缆终端头、母排连接处、端子连接处等易接触不良和易异常发热部位；</w:t>
      </w:r>
    </w:p>
    <w:p w14:paraId="42D0BBDF">
      <w:pPr>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 xml:space="preserve">4 </w:t>
      </w:r>
      <w:r>
        <w:rPr>
          <w:rFonts w:hint="eastAsia" w:ascii="宋体" w:hAnsi="宋体" w:eastAsia="宋体" w:cs="宋体"/>
          <w:sz w:val="32"/>
          <w:szCs w:val="32"/>
        </w:rPr>
        <w:t>成束电缆敷设区段、电缆桥架及其转弯、分支、上下层转换等部位；</w:t>
      </w:r>
    </w:p>
    <w:p w14:paraId="10786CCB">
      <w:pPr>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 xml:space="preserve">5 </w:t>
      </w:r>
      <w:r>
        <w:rPr>
          <w:rFonts w:hint="eastAsia" w:ascii="宋体" w:hAnsi="宋体" w:eastAsia="宋体" w:cs="宋体"/>
          <w:sz w:val="32"/>
          <w:szCs w:val="32"/>
        </w:rPr>
        <w:t>地下空间内巡检条件较差的电缆敷设区域；</w:t>
      </w:r>
    </w:p>
    <w:p w14:paraId="43D92D21">
      <w:pPr>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 xml:space="preserve">6 </w:t>
      </w:r>
      <w:r>
        <w:rPr>
          <w:rFonts w:hint="eastAsia" w:ascii="宋体" w:hAnsi="宋体" w:eastAsia="宋体" w:cs="宋体"/>
          <w:sz w:val="32"/>
          <w:szCs w:val="32"/>
        </w:rPr>
        <w:t>其他经评估需要进行早期监测预警的部位。</w:t>
      </w:r>
    </w:p>
    <w:p w14:paraId="0385431F">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.4.4 电气火灾早期特征感知装置宜具备火灾早期特征参数采集、状态显示、趋势分析、数据记录、异常报警和信息上传功能，并宜接入物业值班室、消防控制室或小区配电运维平台。火灾早期特征参数可包括温度、烟气、特征气体及相关环境参数。报警触发后，应及时开展现场核查并采取相应处置措施。</w:t>
      </w:r>
    </w:p>
    <w:p w14:paraId="26D51CEE">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.4.5 集中表箱、配电箱、电缆分支箱等箱体不应安装在可燃构件上，箱体周边0.3 m内不应有可燃物，箱体内和下方不应搁置、堆放可燃物；箱体不应影响疏散通行和消防救援，设置于潮湿、半室外或地下空间时，应采取防潮、防腐和防凝露措施。</w:t>
      </w:r>
    </w:p>
    <w:p w14:paraId="11C2F44C">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3"/>
        </w:rPr>
      </w:pPr>
      <w:r>
        <w:rPr>
          <w:rFonts w:hint="eastAsia" w:ascii="宋体" w:hAnsi="宋体" w:eastAsia="宋体" w:cs="宋体"/>
          <w:b/>
          <w:bCs/>
          <w:color w:val="000000"/>
          <w:spacing w:val="-6"/>
          <w:kern w:val="0"/>
          <w:sz w:val="32"/>
          <w:szCs w:val="32"/>
          <w:lang w:val="en-US" w:eastAsia="zh-CN" w:bidi="ar"/>
          <w:woUserID w:val="3"/>
        </w:rPr>
        <w:t>8</w:t>
      </w:r>
      <w:r>
        <w:rPr>
          <w:rFonts w:hint="eastAsia" w:ascii="宋体" w:hAnsi="宋体" w:eastAsia="宋体" w:cs="宋体"/>
          <w:b/>
          <w:bCs/>
          <w:color w:val="000000"/>
          <w:spacing w:val="-6"/>
          <w:kern w:val="0"/>
          <w:sz w:val="32"/>
          <w:szCs w:val="32"/>
          <w:lang w:eastAsia="zh" w:bidi="ar"/>
          <w:woUserID w:val="3"/>
        </w:rPr>
        <w:t>.5  充电设施电气防火</w:t>
      </w:r>
    </w:p>
    <w:p w14:paraId="2BDB87C7">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.5.1 住宅小区电动汽车充电设施及电动自行车集中停放充电场所的配电设计，应满足防止电气过载、短路、接地故障、漏电、过温和故障电弧引发火灾的要求。</w:t>
      </w:r>
    </w:p>
    <w:p w14:paraId="32A718F9">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.5.2 充电设施配电回路应设置短路、过负荷、接地故障和剩余电流保护；集中充电场所宜设置过温监测、故障报警和紧急断电措施。</w:t>
      </w:r>
    </w:p>
    <w:p w14:paraId="08291B85">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.5.3 充电设施、电缆线路和配电箱不应占用疏散通道、安全出口、消防车通道及消防设施操作空间，不应破坏建筑防火分隔。</w:t>
      </w:r>
    </w:p>
    <w:p w14:paraId="559F2375">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.5.4 地下车库、半地下空间和电动自行车集中停放充电场所内的充电设施，应结合场所火灾风险，采取温度、烟气、电气参数或特征气体监测预警措施，报警信息宜接入物业值班室、消防控制室或小区运维平台。</w:t>
      </w:r>
    </w:p>
    <w:p w14:paraId="4C704B85">
      <w:pPr>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.5.5 充电设施投入运行后，应定期检查配电箱、充电接口、电缆线路、保护装置和监测报警装置，对过热、绝缘劣化、漏电异常、报警频发等隐患应及时处置。</w:t>
      </w:r>
    </w:p>
    <w:p w14:paraId="3992DA3F">
      <w:pPr>
        <w:rPr>
          <w:rFonts w:hint="eastAsia" w:ascii="宋体" w:hAnsi="宋体" w:eastAsia="宋体" w:cs="宋体"/>
          <w:b/>
          <w:bCs/>
          <w:color w:val="000000"/>
          <w:spacing w:val="-6"/>
          <w:kern w:val="0"/>
          <w:sz w:val="32"/>
          <w:szCs w:val="32"/>
          <w:lang w:val="en-US" w:eastAsia="zh-CN" w:bidi="ar"/>
        </w:rPr>
      </w:pPr>
      <w:bookmarkStart w:id="8" w:name="_Toc19715"/>
      <w:r>
        <w:rPr>
          <w:rFonts w:hint="eastAsia" w:ascii="宋体" w:hAnsi="宋体" w:eastAsia="宋体" w:cs="宋体"/>
          <w:b/>
          <w:bCs/>
          <w:color w:val="000000"/>
          <w:spacing w:val="-6"/>
          <w:kern w:val="0"/>
          <w:sz w:val="32"/>
          <w:szCs w:val="32"/>
          <w:lang w:val="en-US" w:eastAsia="zh-CN" w:bidi="ar"/>
        </w:rPr>
        <w:br w:type="page"/>
      </w:r>
    </w:p>
    <w:p w14:paraId="285CD2E8">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val="en-US" w:eastAsia="zh-CN" w:bidi="ar"/>
        </w:rPr>
      </w:pPr>
      <w:r>
        <w:rPr>
          <w:rFonts w:hint="eastAsia" w:ascii="宋体" w:hAnsi="宋体" w:eastAsia="宋体" w:cs="宋体"/>
          <w:b/>
          <w:bCs/>
          <w:color w:val="000000"/>
          <w:spacing w:val="-6"/>
          <w:kern w:val="0"/>
          <w:sz w:val="32"/>
          <w:szCs w:val="32"/>
          <w:lang w:val="en-US" w:eastAsia="zh-CN" w:bidi="ar"/>
        </w:rPr>
        <w:t>9</w:t>
      </w:r>
      <w:r>
        <w:rPr>
          <w:rFonts w:hint="eastAsia" w:ascii="宋体" w:hAnsi="宋体" w:eastAsia="宋体" w:cs="宋体"/>
          <w:b/>
          <w:bCs/>
          <w:color w:val="000000"/>
          <w:spacing w:val="-6"/>
          <w:kern w:val="0"/>
          <w:sz w:val="32"/>
          <w:szCs w:val="32"/>
          <w:lang w:bidi="ar"/>
        </w:rPr>
        <w:t xml:space="preserve"> 电气</w:t>
      </w:r>
      <w:r>
        <w:rPr>
          <w:rFonts w:hint="eastAsia" w:ascii="宋体" w:hAnsi="宋体" w:eastAsia="宋体" w:cs="宋体"/>
          <w:b/>
          <w:bCs/>
          <w:color w:val="000000"/>
          <w:spacing w:val="-6"/>
          <w:kern w:val="0"/>
          <w:sz w:val="32"/>
          <w:szCs w:val="32"/>
          <w:lang w:val="en-US" w:eastAsia="zh-CN" w:bidi="ar"/>
        </w:rPr>
        <w:t>节能与智慧管控</w:t>
      </w:r>
      <w:bookmarkEnd w:id="8"/>
    </w:p>
    <w:p w14:paraId="1EECCD18">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rPr>
      </w:pPr>
      <w:r>
        <w:rPr>
          <w:rFonts w:hint="eastAsia" w:ascii="宋体" w:hAnsi="宋体" w:eastAsia="宋体" w:cs="宋体"/>
          <w:b/>
          <w:bCs/>
          <w:color w:val="000000"/>
          <w:spacing w:val="-6"/>
          <w:kern w:val="0"/>
          <w:sz w:val="32"/>
          <w:szCs w:val="32"/>
          <w:lang w:eastAsia="zh" w:bidi="ar"/>
          <w:woUserID w:val="3"/>
        </w:rPr>
        <w:t>9</w:t>
      </w:r>
      <w:r>
        <w:rPr>
          <w:rFonts w:hint="eastAsia" w:ascii="宋体" w:hAnsi="宋体" w:eastAsia="宋体" w:cs="宋体"/>
          <w:b/>
          <w:bCs/>
          <w:color w:val="000000"/>
          <w:spacing w:val="-6"/>
          <w:kern w:val="0"/>
          <w:sz w:val="32"/>
          <w:szCs w:val="32"/>
          <w:lang w:eastAsia="zh" w:bidi="ar"/>
        </w:rPr>
        <w:t>.1</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eastAsia="zh" w:bidi="ar"/>
        </w:rPr>
        <w:t>一般规定</w:t>
      </w:r>
    </w:p>
    <w:p w14:paraId="5A65AEB3">
      <w:pPr>
        <w:spacing w:line="560" w:lineRule="exact"/>
        <w:ind w:right="13"/>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woUserID w:val="3"/>
        </w:rPr>
        <w:t>9</w:t>
      </w:r>
      <w:r>
        <w:rPr>
          <w:rFonts w:hint="eastAsia" w:ascii="宋体" w:hAnsi="宋体" w:eastAsia="宋体" w:cs="宋体"/>
          <w:spacing w:val="6"/>
          <w:sz w:val="32"/>
          <w:szCs w:val="32"/>
          <w:lang w:eastAsia="zh" w:bidi="ar"/>
        </w:rPr>
        <w:t xml:space="preserve">.1.1 </w:t>
      </w:r>
      <w:r>
        <w:rPr>
          <w:rFonts w:hint="eastAsia" w:ascii="宋体" w:hAnsi="宋体" w:eastAsia="宋体" w:cs="宋体"/>
          <w:spacing w:val="6"/>
          <w:sz w:val="32"/>
          <w:szCs w:val="32"/>
          <w:lang w:bidi="ar"/>
        </w:rPr>
        <w:t>电气照明设计除应符合本标准外，尚应符合现行国家标准《建筑照明设计标准》GB</w:t>
      </w:r>
      <w:r>
        <w:rPr>
          <w:rFonts w:hint="eastAsia" w:ascii="宋体" w:hAnsi="宋体" w:eastAsia="宋体" w:cs="宋体"/>
          <w:spacing w:val="6"/>
          <w:sz w:val="32"/>
          <w:szCs w:val="32"/>
          <w:lang w:val="en-US" w:eastAsia="zh-CN" w:bidi="ar"/>
        </w:rPr>
        <w:t xml:space="preserve">/T </w:t>
      </w:r>
      <w:r>
        <w:rPr>
          <w:rFonts w:hint="eastAsia" w:ascii="宋体" w:hAnsi="宋体" w:eastAsia="宋体" w:cs="宋体"/>
          <w:spacing w:val="6"/>
          <w:sz w:val="32"/>
          <w:szCs w:val="32"/>
          <w:lang w:bidi="ar"/>
        </w:rPr>
        <w:t>50034的规定。</w:t>
      </w:r>
    </w:p>
    <w:p w14:paraId="38E4F449">
      <w:pPr>
        <w:spacing w:line="560" w:lineRule="exact"/>
        <w:ind w:right="13"/>
        <w:rPr>
          <w:rFonts w:hint="eastAsia" w:ascii="宋体" w:hAnsi="宋体" w:eastAsia="宋体" w:cs="宋体"/>
          <w:spacing w:val="6"/>
          <w:sz w:val="32"/>
          <w:szCs w:val="32"/>
          <w:lang w:eastAsia="zh" w:bidi="ar"/>
        </w:rPr>
      </w:pPr>
      <w:r>
        <w:rPr>
          <w:rFonts w:hint="eastAsia" w:ascii="宋体" w:hAnsi="宋体" w:eastAsia="宋体" w:cs="宋体"/>
          <w:spacing w:val="6"/>
          <w:sz w:val="32"/>
          <w:szCs w:val="32"/>
          <w:lang w:eastAsia="zh" w:bidi="ar"/>
          <w:woUserID w:val="3"/>
        </w:rPr>
        <w:t>9</w:t>
      </w:r>
      <w:r>
        <w:rPr>
          <w:rFonts w:hint="eastAsia" w:ascii="宋体" w:hAnsi="宋体" w:eastAsia="宋体" w:cs="宋体"/>
          <w:spacing w:val="6"/>
          <w:sz w:val="32"/>
          <w:szCs w:val="32"/>
          <w:lang w:eastAsia="zh" w:bidi="ar"/>
        </w:rPr>
        <w:t>.1.2</w:t>
      </w:r>
      <w:r>
        <w:rPr>
          <w:rFonts w:hint="eastAsia" w:ascii="宋体" w:hAnsi="宋体" w:eastAsia="宋体" w:cs="宋体"/>
          <w:spacing w:val="6"/>
          <w:sz w:val="32"/>
          <w:szCs w:val="32"/>
          <w:lang w:bidi="ar"/>
        </w:rPr>
        <w:t xml:space="preserve"> 全装修住宅户内的照明由装修设计单位根据装修图纸按照国家和地方标准进行设计。</w:t>
      </w:r>
    </w:p>
    <w:p w14:paraId="71DDA8E4">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eastAsia="zh" w:bidi="ar"/>
          <w:woUserID w:val="3"/>
        </w:rPr>
        <w:t>9</w:t>
      </w:r>
      <w:r>
        <w:rPr>
          <w:rFonts w:hint="eastAsia" w:ascii="宋体" w:hAnsi="宋体" w:eastAsia="宋体" w:cs="宋体"/>
          <w:b/>
          <w:bCs/>
          <w:color w:val="000000"/>
          <w:spacing w:val="-6"/>
          <w:kern w:val="0"/>
          <w:sz w:val="32"/>
          <w:szCs w:val="32"/>
          <w:lang w:bidi="ar"/>
        </w:rPr>
        <w:t>.</w:t>
      </w:r>
      <w:r>
        <w:rPr>
          <w:rFonts w:hint="eastAsia" w:ascii="宋体" w:hAnsi="宋体" w:eastAsia="宋体" w:cs="宋体"/>
          <w:b/>
          <w:bCs/>
          <w:color w:val="000000"/>
          <w:spacing w:val="-6"/>
          <w:kern w:val="0"/>
          <w:sz w:val="32"/>
          <w:szCs w:val="32"/>
          <w:lang w:eastAsia="zh" w:bidi="ar"/>
        </w:rPr>
        <w:t>2</w:t>
      </w:r>
      <w:r>
        <w:rPr>
          <w:rFonts w:hint="eastAsia" w:ascii="宋体" w:hAnsi="宋体" w:eastAsia="宋体" w:cs="宋体"/>
          <w:b/>
          <w:bCs/>
          <w:color w:val="000000"/>
          <w:spacing w:val="-6"/>
          <w:kern w:val="0"/>
          <w:sz w:val="32"/>
          <w:szCs w:val="32"/>
          <w:lang w:bidi="ar"/>
        </w:rPr>
        <w:t xml:space="preserve"> 公共照明</w:t>
      </w:r>
    </w:p>
    <w:p w14:paraId="345506DF">
      <w:pPr>
        <w:spacing w:line="560" w:lineRule="exact"/>
        <w:ind w:right="13"/>
        <w:rPr>
          <w:rFonts w:hint="eastAsia" w:ascii="宋体" w:hAnsi="宋体" w:eastAsia="宋体" w:cs="宋体"/>
          <w:spacing w:val="6"/>
          <w:sz w:val="32"/>
          <w:szCs w:val="32"/>
          <w:lang w:bidi="ar"/>
        </w:rPr>
      </w:pPr>
      <w:r>
        <w:rPr>
          <w:rFonts w:hint="eastAsia" w:ascii="宋体" w:hAnsi="宋体" w:eastAsia="宋体" w:cs="宋体"/>
          <w:spacing w:val="6"/>
          <w:sz w:val="32"/>
          <w:szCs w:val="32"/>
          <w:lang w:eastAsia="zh" w:bidi="ar"/>
          <w:woUserID w:val="3"/>
        </w:rPr>
        <w:t>9</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bidi="ar"/>
        </w:rPr>
        <w:t>.1 住宅建筑的照明应选用节能光源、节能附件，灯具应选用绿色环保材料。</w:t>
      </w:r>
    </w:p>
    <w:p w14:paraId="09FE868B">
      <w:pPr>
        <w:widowControl/>
        <w:spacing w:line="560" w:lineRule="exact"/>
        <w:jc w:val="left"/>
        <w:rPr>
          <w:rFonts w:hint="eastAsia" w:ascii="宋体" w:hAnsi="宋体" w:eastAsia="宋体" w:cs="宋体"/>
          <w:spacing w:val="6"/>
          <w:sz w:val="32"/>
          <w:szCs w:val="32"/>
          <w:lang w:bidi="ar"/>
        </w:rPr>
      </w:pPr>
      <w:r>
        <w:rPr>
          <w:rFonts w:hint="eastAsia" w:ascii="宋体" w:hAnsi="宋体" w:eastAsia="宋体" w:cs="宋体"/>
          <w:spacing w:val="6"/>
          <w:sz w:val="32"/>
          <w:szCs w:val="32"/>
          <w:lang w:eastAsia="zh" w:bidi="ar"/>
          <w:woUserID w:val="3"/>
        </w:rPr>
        <w:t>9</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bidi="ar"/>
        </w:rPr>
        <w:t xml:space="preserve"> 楼梯间、前室、室内公共走道区域普通照明应设置现场节能自熄开关，门厅、电梯厅及其它公共区域普通照明宜采用节能自熄开关。节能自熄开关应采用非接触控制型产品。有自然光的门厅、公共走道、楼梯间等的照明，开关宜具有光控</w:t>
      </w:r>
      <w:r>
        <w:rPr>
          <w:rFonts w:hint="eastAsia" w:ascii="宋体" w:hAnsi="宋体" w:eastAsia="宋体" w:cs="宋体"/>
          <w:spacing w:val="6"/>
          <w:sz w:val="32"/>
          <w:szCs w:val="32"/>
          <w:lang w:eastAsia="zh" w:bidi="ar"/>
        </w:rPr>
        <w:t>自熄</w:t>
      </w:r>
      <w:r>
        <w:rPr>
          <w:rFonts w:hint="eastAsia" w:ascii="宋体" w:hAnsi="宋体" w:eastAsia="宋体" w:cs="宋体"/>
          <w:spacing w:val="6"/>
          <w:sz w:val="32"/>
          <w:szCs w:val="32"/>
          <w:lang w:bidi="ar"/>
        </w:rPr>
        <w:t>功能。</w:t>
      </w:r>
    </w:p>
    <w:p w14:paraId="2A22E2B1">
      <w:pPr>
        <w:spacing w:line="560" w:lineRule="exact"/>
        <w:ind w:right="13"/>
        <w:rPr>
          <w:rFonts w:hint="eastAsia" w:ascii="宋体" w:hAnsi="宋体" w:eastAsia="宋体" w:cs="宋体"/>
          <w:spacing w:val="6"/>
          <w:sz w:val="32"/>
          <w:szCs w:val="32"/>
          <w:lang w:bidi="ar"/>
        </w:rPr>
      </w:pPr>
      <w:r>
        <w:rPr>
          <w:rFonts w:hint="eastAsia" w:ascii="宋体" w:hAnsi="宋体" w:eastAsia="宋体" w:cs="宋体"/>
          <w:spacing w:val="6"/>
          <w:sz w:val="32"/>
          <w:szCs w:val="32"/>
          <w:lang w:eastAsia="zh" w:bidi="ar"/>
          <w:woUserID w:val="3"/>
        </w:rPr>
        <w:t>9</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3</w:t>
      </w:r>
      <w:r>
        <w:rPr>
          <w:rFonts w:hint="eastAsia" w:ascii="宋体" w:hAnsi="宋体" w:eastAsia="宋体" w:cs="宋体"/>
          <w:spacing w:val="6"/>
          <w:sz w:val="32"/>
          <w:szCs w:val="32"/>
          <w:lang w:bidi="ar"/>
        </w:rPr>
        <w:t xml:space="preserve"> 住宅建筑雨篷、门厅、前室、公共走道的照明控制方式应满足无障碍通行的要求。无障碍坡道附近应设置专用照明，坡道照度不宜小于501x,其控制开关宜设置在安防控制室等值班场所内或采用感应控制开关。</w:t>
      </w:r>
    </w:p>
    <w:p w14:paraId="5306B5D3">
      <w:pPr>
        <w:widowControl/>
        <w:kinsoku w:val="0"/>
        <w:autoSpaceDE w:val="0"/>
        <w:autoSpaceDN w:val="0"/>
        <w:adjustRightInd w:val="0"/>
        <w:snapToGrid w:val="0"/>
        <w:spacing w:line="560" w:lineRule="exact"/>
        <w:jc w:val="center"/>
        <w:textAlignment w:val="baseline"/>
        <w:outlineLvl w:val="1"/>
        <w:rPr>
          <w:rFonts w:ascii="仿宋" w:hAnsi="仿宋" w:eastAsia="仿宋" w:cs="仿宋"/>
          <w:b/>
          <w:bCs/>
          <w:color w:val="000000"/>
          <w:spacing w:val="-6"/>
          <w:kern w:val="0"/>
          <w:sz w:val="32"/>
          <w:szCs w:val="32"/>
          <w:lang w:bidi="ar"/>
        </w:rPr>
      </w:pPr>
      <w:r>
        <w:rPr>
          <w:rFonts w:hint="eastAsia" w:ascii="仿宋" w:hAnsi="仿宋" w:eastAsia="仿宋" w:cs="仿宋"/>
          <w:b/>
          <w:bCs/>
          <w:color w:val="000000"/>
          <w:spacing w:val="-6"/>
          <w:kern w:val="0"/>
          <w:sz w:val="32"/>
          <w:szCs w:val="32"/>
          <w:lang w:eastAsia="zh" w:bidi="ar"/>
          <w:woUserID w:val="3"/>
        </w:rPr>
        <w:t>9</w:t>
      </w:r>
      <w:r>
        <w:rPr>
          <w:rFonts w:hint="eastAsia" w:ascii="仿宋" w:hAnsi="仿宋" w:eastAsia="仿宋" w:cs="仿宋"/>
          <w:b/>
          <w:bCs/>
          <w:color w:val="000000"/>
          <w:spacing w:val="-6"/>
          <w:kern w:val="0"/>
          <w:sz w:val="32"/>
          <w:szCs w:val="32"/>
          <w:lang w:bidi="ar"/>
        </w:rPr>
        <w:t>.</w:t>
      </w:r>
      <w:r>
        <w:rPr>
          <w:rFonts w:hint="eastAsia" w:ascii="仿宋" w:hAnsi="仿宋" w:eastAsia="仿宋" w:cs="仿宋"/>
          <w:b/>
          <w:bCs/>
          <w:color w:val="000000"/>
          <w:spacing w:val="-6"/>
          <w:kern w:val="0"/>
          <w:sz w:val="32"/>
          <w:szCs w:val="32"/>
          <w:lang w:eastAsia="zh" w:bidi="ar"/>
        </w:rPr>
        <w:t>3</w:t>
      </w:r>
      <w:r>
        <w:rPr>
          <w:rFonts w:hint="eastAsia" w:ascii="仿宋" w:hAnsi="仿宋" w:eastAsia="仿宋" w:cs="仿宋"/>
          <w:b/>
          <w:bCs/>
          <w:color w:val="000000"/>
          <w:spacing w:val="-6"/>
          <w:kern w:val="0"/>
          <w:sz w:val="32"/>
          <w:szCs w:val="32"/>
          <w:lang w:bidi="ar"/>
        </w:rPr>
        <w:t xml:space="preserve"> </w:t>
      </w:r>
      <w:r>
        <w:rPr>
          <w:rFonts w:hint="eastAsia" w:ascii="仿宋" w:hAnsi="仿宋" w:eastAsia="仿宋" w:cs="仿宋"/>
          <w:b/>
          <w:bCs/>
          <w:color w:val="000000"/>
          <w:spacing w:val="-6"/>
          <w:kern w:val="0"/>
          <w:sz w:val="32"/>
          <w:szCs w:val="32"/>
          <w:lang w:eastAsia="zh" w:bidi="ar"/>
        </w:rPr>
        <w:t>应急</w:t>
      </w:r>
      <w:r>
        <w:rPr>
          <w:rFonts w:hint="eastAsia" w:ascii="仿宋" w:hAnsi="仿宋" w:eastAsia="仿宋" w:cs="仿宋"/>
          <w:b/>
          <w:bCs/>
          <w:color w:val="000000"/>
          <w:spacing w:val="-6"/>
          <w:kern w:val="0"/>
          <w:sz w:val="32"/>
          <w:szCs w:val="32"/>
          <w:lang w:bidi="ar"/>
        </w:rPr>
        <w:t>照明</w:t>
      </w:r>
    </w:p>
    <w:p w14:paraId="1BAD837E">
      <w:pPr>
        <w:spacing w:line="560" w:lineRule="exact"/>
        <w:ind w:right="13"/>
        <w:rPr>
          <w:rFonts w:hint="eastAsia" w:ascii="宋体" w:hAnsi="宋体" w:eastAsia="宋体" w:cs="宋体"/>
          <w:spacing w:val="6"/>
          <w:sz w:val="32"/>
          <w:szCs w:val="32"/>
          <w:lang w:bidi="ar"/>
        </w:rPr>
      </w:pPr>
      <w:r>
        <w:rPr>
          <w:rFonts w:hint="eastAsia" w:ascii="宋体" w:hAnsi="宋体" w:eastAsia="宋体" w:cs="宋体"/>
          <w:spacing w:val="6"/>
          <w:sz w:val="32"/>
          <w:szCs w:val="32"/>
          <w:lang w:eastAsia="zh" w:bidi="ar"/>
          <w:woUserID w:val="3"/>
        </w:rPr>
        <w:t>9</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3</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1</w:t>
      </w:r>
      <w:r>
        <w:rPr>
          <w:rFonts w:hint="eastAsia" w:ascii="宋体" w:hAnsi="宋体" w:eastAsia="宋体" w:cs="宋体"/>
          <w:spacing w:val="6"/>
          <w:sz w:val="32"/>
          <w:szCs w:val="32"/>
          <w:lang w:bidi="ar"/>
        </w:rPr>
        <w:t xml:space="preserve"> 当应急照明采用节能自熄开关控制时，在应急情况下，设有火灾自动报警系统建筑内的应急照明应自动点亮，无火灾自动报警系统的应急照明应能集中点亮。</w:t>
      </w:r>
    </w:p>
    <w:p w14:paraId="3B3AEED5">
      <w:pPr>
        <w:widowControl/>
        <w:spacing w:line="560" w:lineRule="exact"/>
        <w:rPr>
          <w:rFonts w:hint="eastAsia" w:ascii="宋体" w:hAnsi="宋体" w:eastAsia="宋体" w:cs="宋体"/>
          <w:spacing w:val="6"/>
          <w:sz w:val="32"/>
          <w:szCs w:val="32"/>
          <w:lang w:bidi="ar"/>
        </w:rPr>
      </w:pPr>
      <w:r>
        <w:rPr>
          <w:rFonts w:hint="eastAsia" w:ascii="宋体" w:hAnsi="宋体" w:eastAsia="宋体" w:cs="宋体"/>
          <w:spacing w:val="6"/>
          <w:sz w:val="32"/>
          <w:szCs w:val="32"/>
          <w:lang w:eastAsia="zh" w:bidi="ar"/>
          <w:woUserID w:val="3"/>
        </w:rPr>
        <w:t>9</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3</w:t>
      </w:r>
      <w:r>
        <w:rPr>
          <w:rFonts w:hint="eastAsia" w:ascii="宋体" w:hAnsi="宋体" w:eastAsia="宋体" w:cs="宋体"/>
          <w:spacing w:val="6"/>
          <w:sz w:val="32"/>
          <w:szCs w:val="32"/>
          <w:lang w:bidi="ar"/>
        </w:rPr>
        <w:t>.</w:t>
      </w:r>
      <w:r>
        <w:rPr>
          <w:rFonts w:hint="eastAsia" w:ascii="宋体" w:hAnsi="宋体" w:eastAsia="宋体" w:cs="宋体"/>
          <w:spacing w:val="6"/>
          <w:sz w:val="32"/>
          <w:szCs w:val="32"/>
          <w:lang w:eastAsia="zh" w:bidi="ar"/>
        </w:rPr>
        <w:t>2</w:t>
      </w:r>
      <w:r>
        <w:rPr>
          <w:rFonts w:hint="eastAsia" w:ascii="宋体" w:hAnsi="宋体" w:eastAsia="宋体" w:cs="宋体"/>
          <w:spacing w:val="6"/>
          <w:sz w:val="32"/>
          <w:szCs w:val="32"/>
          <w:lang w:bidi="ar"/>
        </w:rPr>
        <w:t xml:space="preserve"> 当应急照明灯具兼做日常照明</w:t>
      </w:r>
      <w:r>
        <w:rPr>
          <w:rFonts w:hint="eastAsia" w:ascii="宋体" w:hAnsi="宋体" w:eastAsia="宋体" w:cs="宋体"/>
          <w:spacing w:val="6"/>
          <w:sz w:val="32"/>
          <w:szCs w:val="32"/>
          <w:lang w:eastAsia="zh" w:bidi="ar"/>
        </w:rPr>
        <w:t>且</w:t>
      </w:r>
      <w:r>
        <w:rPr>
          <w:rFonts w:hint="eastAsia" w:ascii="宋体" w:hAnsi="宋体" w:eastAsia="宋体" w:cs="宋体"/>
          <w:spacing w:val="6"/>
          <w:sz w:val="32"/>
          <w:szCs w:val="32"/>
          <w:lang w:bidi="ar"/>
        </w:rPr>
        <w:t>采用节能自熄开关控制时，火灾确认后，应能手动控制应急照明系统的应急</w:t>
      </w:r>
      <w:r>
        <w:rPr>
          <w:rFonts w:hint="eastAsia" w:ascii="宋体" w:hAnsi="宋体" w:eastAsia="宋体" w:cs="宋体"/>
          <w:spacing w:val="6"/>
          <w:sz w:val="32"/>
          <w:szCs w:val="32"/>
          <w:lang w:eastAsia="zh" w:bidi="ar"/>
        </w:rPr>
        <w:t>启动</w:t>
      </w:r>
      <w:r>
        <w:rPr>
          <w:rFonts w:hint="eastAsia" w:ascii="宋体" w:hAnsi="宋体" w:eastAsia="宋体" w:cs="宋体"/>
          <w:spacing w:val="6"/>
          <w:sz w:val="32"/>
          <w:szCs w:val="32"/>
          <w:lang w:bidi="ar"/>
        </w:rPr>
        <w:t>，设置火灾报警系统的场所，应能自动控制应急照明系统的应急启动。</w:t>
      </w:r>
    </w:p>
    <w:p w14:paraId="2108C818">
      <w:pPr>
        <w:spacing w:line="560" w:lineRule="exact"/>
        <w:ind w:right="13"/>
        <w:rPr>
          <w:rFonts w:ascii="仿宋" w:hAnsi="仿宋" w:eastAsia="仿宋" w:cs="仿宋"/>
          <w:spacing w:val="9"/>
          <w:sz w:val="32"/>
          <w:szCs w:val="32"/>
          <w:highlight w:val="yellow"/>
          <w:lang w:bidi="ar"/>
        </w:rPr>
      </w:pPr>
    </w:p>
    <w:p w14:paraId="476C7CF6">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val="en-US" w:eastAsia="zh-CN" w:bidi="ar"/>
          <w:woUserID w:val="3"/>
        </w:rPr>
      </w:pPr>
      <w:r>
        <w:rPr>
          <w:rFonts w:hint="eastAsia" w:ascii="宋体" w:hAnsi="宋体" w:eastAsia="宋体" w:cs="宋体"/>
          <w:b/>
          <w:bCs/>
          <w:color w:val="000000"/>
          <w:spacing w:val="-6"/>
          <w:kern w:val="0"/>
          <w:sz w:val="32"/>
          <w:szCs w:val="32"/>
          <w:lang w:eastAsia="zh" w:bidi="ar"/>
          <w:woUserID w:val="3"/>
        </w:rPr>
        <w:t xml:space="preserve">9.4 </w:t>
      </w:r>
      <w:r>
        <w:rPr>
          <w:rFonts w:hint="eastAsia" w:ascii="宋体" w:hAnsi="宋体" w:eastAsia="宋体" w:cs="宋体"/>
          <w:b/>
          <w:bCs/>
          <w:color w:val="000000"/>
          <w:spacing w:val="-6"/>
          <w:kern w:val="0"/>
          <w:sz w:val="32"/>
          <w:szCs w:val="32"/>
          <w:lang w:val="en-US" w:eastAsia="zh-CN" w:bidi="ar"/>
          <w:woUserID w:val="3"/>
        </w:rPr>
        <w:t>智慧管控</w:t>
      </w:r>
    </w:p>
    <w:p w14:paraId="7AC77427">
      <w:pPr>
        <w:spacing w:line="560" w:lineRule="exact"/>
        <w:ind w:right="13"/>
        <w:rPr>
          <w:rFonts w:hint="eastAsia" w:ascii="宋体" w:hAnsi="宋体" w:eastAsia="宋体" w:cs="宋体"/>
          <w:spacing w:val="9"/>
          <w:sz w:val="32"/>
          <w:szCs w:val="32"/>
          <w:highlight w:val="yellow"/>
          <w:lang w:eastAsia="zh" w:bidi="ar"/>
          <w:woUserID w:val="3"/>
        </w:rPr>
      </w:pPr>
    </w:p>
    <w:p w14:paraId="3628C6DD">
      <w:pPr>
        <w:spacing w:line="560" w:lineRule="exact"/>
        <w:ind w:right="13"/>
        <w:rPr>
          <w:rFonts w:hint="eastAsia" w:ascii="宋体" w:hAnsi="宋体" w:eastAsia="宋体" w:cs="宋体"/>
          <w:spacing w:val="9"/>
          <w:sz w:val="32"/>
          <w:szCs w:val="32"/>
          <w:highlight w:val="yellow"/>
          <w:lang w:bidi="ar"/>
        </w:rPr>
      </w:pPr>
    </w:p>
    <w:p w14:paraId="0B29A230">
      <w:pPr>
        <w:spacing w:line="560" w:lineRule="exact"/>
        <w:ind w:right="13"/>
        <w:rPr>
          <w:rFonts w:hint="eastAsia" w:ascii="宋体" w:hAnsi="宋体" w:eastAsia="宋体" w:cs="宋体"/>
          <w:spacing w:val="9"/>
          <w:sz w:val="32"/>
          <w:szCs w:val="32"/>
          <w:highlight w:val="yellow"/>
          <w:lang w:bidi="ar"/>
        </w:rPr>
      </w:pPr>
    </w:p>
    <w:p w14:paraId="5F6C9B25">
      <w:pPr>
        <w:spacing w:line="560" w:lineRule="exact"/>
        <w:ind w:right="13"/>
        <w:rPr>
          <w:rFonts w:hint="eastAsia" w:ascii="宋体" w:hAnsi="宋体" w:eastAsia="宋体" w:cs="宋体"/>
          <w:spacing w:val="9"/>
          <w:sz w:val="32"/>
          <w:szCs w:val="32"/>
          <w:highlight w:val="yellow"/>
          <w:lang w:bidi="ar"/>
        </w:rPr>
      </w:pPr>
    </w:p>
    <w:p w14:paraId="7DA2CDE9">
      <w:pPr>
        <w:spacing w:line="560" w:lineRule="exact"/>
        <w:ind w:right="13"/>
        <w:rPr>
          <w:rFonts w:hint="eastAsia" w:ascii="宋体" w:hAnsi="宋体" w:eastAsia="宋体" w:cs="宋体"/>
          <w:spacing w:val="9"/>
          <w:sz w:val="32"/>
          <w:szCs w:val="32"/>
          <w:highlight w:val="yellow"/>
          <w:lang w:bidi="ar"/>
        </w:rPr>
      </w:pPr>
    </w:p>
    <w:p w14:paraId="3D87A07F">
      <w:pPr>
        <w:spacing w:line="560" w:lineRule="exact"/>
        <w:ind w:right="13"/>
        <w:rPr>
          <w:rFonts w:hint="eastAsia" w:ascii="宋体" w:hAnsi="宋体" w:eastAsia="宋体" w:cs="宋体"/>
          <w:spacing w:val="9"/>
          <w:sz w:val="32"/>
          <w:szCs w:val="32"/>
          <w:highlight w:val="yellow"/>
          <w:lang w:bidi="ar"/>
        </w:rPr>
      </w:pPr>
    </w:p>
    <w:p w14:paraId="51D1D035">
      <w:pPr>
        <w:rPr>
          <w:rFonts w:hint="eastAsia" w:ascii="宋体" w:hAnsi="宋体" w:eastAsia="宋体" w:cs="宋体"/>
          <w:b/>
          <w:bCs/>
          <w:color w:val="000000"/>
          <w:spacing w:val="-6"/>
          <w:kern w:val="0"/>
          <w:sz w:val="32"/>
          <w:szCs w:val="32"/>
          <w:lang w:val="en-US" w:eastAsia="zh-CN" w:bidi="ar"/>
        </w:rPr>
      </w:pPr>
      <w:bookmarkStart w:id="9" w:name="_Toc28359"/>
      <w:r>
        <w:rPr>
          <w:rFonts w:hint="eastAsia" w:ascii="宋体" w:hAnsi="宋体" w:eastAsia="宋体" w:cs="宋体"/>
          <w:b/>
          <w:bCs/>
          <w:color w:val="000000"/>
          <w:spacing w:val="-6"/>
          <w:kern w:val="0"/>
          <w:sz w:val="32"/>
          <w:szCs w:val="32"/>
          <w:lang w:val="en-US" w:eastAsia="zh-CN" w:bidi="ar"/>
        </w:rPr>
        <w:br w:type="page"/>
      </w:r>
    </w:p>
    <w:p w14:paraId="05B11CA2">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val="en-US" w:eastAsia="zh-CN" w:bidi="ar"/>
        </w:rPr>
      </w:pPr>
      <w:r>
        <w:rPr>
          <w:rFonts w:hint="eastAsia" w:ascii="宋体" w:hAnsi="宋体" w:eastAsia="宋体" w:cs="宋体"/>
          <w:b/>
          <w:bCs/>
          <w:color w:val="000000"/>
          <w:spacing w:val="-6"/>
          <w:kern w:val="0"/>
          <w:sz w:val="32"/>
          <w:szCs w:val="32"/>
          <w:lang w:val="en-US" w:eastAsia="zh-CN" w:bidi="ar"/>
        </w:rPr>
        <w:t>10</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val="en-US" w:eastAsia="zh-CN" w:bidi="ar"/>
        </w:rPr>
        <w:t>充电设施接入及微电网</w:t>
      </w:r>
      <w:bookmarkEnd w:id="9"/>
    </w:p>
    <w:p w14:paraId="4B12DAA7">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1"/>
        </w:rPr>
      </w:pPr>
      <w:r>
        <w:rPr>
          <w:rFonts w:hint="eastAsia" w:ascii="宋体" w:hAnsi="宋体" w:eastAsia="宋体" w:cs="宋体"/>
          <w:b/>
          <w:bCs/>
          <w:color w:val="000000"/>
          <w:spacing w:val="-6"/>
          <w:kern w:val="0"/>
          <w:sz w:val="32"/>
          <w:szCs w:val="32"/>
          <w:lang w:val="en-US" w:eastAsia="zh-CN" w:bidi="ar"/>
        </w:rPr>
        <w:t xml:space="preserve">10.1 </w:t>
      </w:r>
      <w:r>
        <w:rPr>
          <w:rFonts w:hint="eastAsia" w:ascii="宋体" w:hAnsi="宋体" w:eastAsia="宋体" w:cs="宋体"/>
          <w:b/>
          <w:bCs/>
          <w:color w:val="000000"/>
          <w:spacing w:val="-6"/>
          <w:kern w:val="0"/>
          <w:sz w:val="32"/>
          <w:szCs w:val="32"/>
          <w:lang w:val="en-US" w:eastAsia="zh" w:bidi="ar"/>
          <w:woUserID w:val="1"/>
        </w:rPr>
        <w:t>一般规定</w:t>
      </w:r>
    </w:p>
    <w:p w14:paraId="2364CE76">
      <w:pPr>
        <w:pStyle w:val="8"/>
        <w:widowControl/>
        <w:spacing w:beforeAutospacing="0" w:afterAutospacing="0" w:line="560" w:lineRule="exact"/>
        <w:jc w:val="both"/>
        <w:rPr>
          <w:rFonts w:hint="eastAsia" w:ascii="宋体" w:hAnsi="宋体" w:eastAsia="宋体" w:cs="宋体"/>
          <w:sz w:val="32"/>
          <w:szCs w:val="32"/>
        </w:rPr>
      </w:pPr>
      <w:r>
        <w:rPr>
          <w:rFonts w:hint="eastAsia" w:ascii="宋体" w:hAnsi="宋体" w:eastAsia="宋体" w:cs="宋体"/>
          <w:sz w:val="32"/>
          <w:szCs w:val="32"/>
        </w:rPr>
        <w:t>1</w:t>
      </w:r>
      <w:r>
        <w:rPr>
          <w:rFonts w:hint="eastAsia" w:ascii="宋体" w:hAnsi="宋体" w:eastAsia="宋体" w:cs="宋体"/>
          <w:sz w:val="32"/>
          <w:szCs w:val="32"/>
          <w:lang w:val="en-US" w:eastAsia="zh-CN"/>
        </w:rPr>
        <w:t>0</w:t>
      </w:r>
      <w:r>
        <w:rPr>
          <w:rFonts w:hint="eastAsia" w:ascii="宋体" w:hAnsi="宋体" w:eastAsia="宋体" w:cs="宋体"/>
          <w:sz w:val="32"/>
          <w:szCs w:val="32"/>
        </w:rPr>
        <w:t>.1.1 住宅建筑</w:t>
      </w:r>
      <w:r>
        <w:rPr>
          <w:rFonts w:hint="eastAsia" w:ascii="宋体" w:hAnsi="宋体" w:eastAsia="宋体" w:cs="宋体"/>
          <w:sz w:val="32"/>
          <w:szCs w:val="32"/>
          <w:lang w:val="en-US" w:eastAsia="zh-CN"/>
        </w:rPr>
        <w:t>以</w:t>
      </w:r>
      <w:r>
        <w:rPr>
          <w:rFonts w:hint="eastAsia" w:ascii="宋体" w:hAnsi="宋体" w:eastAsia="宋体" w:cs="宋体"/>
          <w:sz w:val="32"/>
          <w:szCs w:val="32"/>
        </w:rPr>
        <w:t>慢充设备为主，可根据实际情况设置较低比例的快充设备。</w:t>
      </w:r>
    </w:p>
    <w:p w14:paraId="589667A3">
      <w:pPr>
        <w:pStyle w:val="8"/>
        <w:widowControl/>
        <w:spacing w:beforeAutospacing="0" w:afterAutospacing="0" w:line="560" w:lineRule="exact"/>
        <w:jc w:val="both"/>
        <w:rPr>
          <w:rFonts w:hint="eastAsia" w:ascii="宋体" w:hAnsi="宋体" w:eastAsia="宋体" w:cs="宋体"/>
          <w:sz w:val="32"/>
          <w:szCs w:val="32"/>
          <w:lang w:bidi="ar"/>
        </w:rPr>
      </w:pPr>
      <w:r>
        <w:rPr>
          <w:rFonts w:hint="eastAsia" w:ascii="宋体" w:hAnsi="宋体" w:eastAsia="宋体" w:cs="宋体"/>
          <w:sz w:val="32"/>
          <w:szCs w:val="32"/>
          <w:lang w:bidi="ar"/>
        </w:rPr>
        <w:t>1</w:t>
      </w:r>
      <w:r>
        <w:rPr>
          <w:rFonts w:hint="eastAsia" w:ascii="宋体" w:hAnsi="宋体" w:eastAsia="宋体" w:cs="宋体"/>
          <w:sz w:val="32"/>
          <w:szCs w:val="32"/>
          <w:lang w:val="en-US" w:eastAsia="zh-CN" w:bidi="ar"/>
        </w:rPr>
        <w:t>0</w:t>
      </w:r>
      <w:r>
        <w:rPr>
          <w:rFonts w:hint="eastAsia" w:ascii="宋体" w:hAnsi="宋体" w:eastAsia="宋体" w:cs="宋体"/>
          <w:sz w:val="32"/>
          <w:szCs w:val="32"/>
          <w:lang w:bidi="ar"/>
        </w:rPr>
        <w:t>.1.2 电动汽车充电设备不应设置在汽车库(场)通道出</w:t>
      </w:r>
      <w:r>
        <w:rPr>
          <w:rFonts w:hint="eastAsia" w:ascii="宋体" w:hAnsi="宋体" w:eastAsia="宋体" w:cs="宋体"/>
          <w:sz w:val="32"/>
          <w:szCs w:val="32"/>
          <w:lang w:eastAsia="zh" w:bidi="ar"/>
        </w:rPr>
        <w:t>入</w:t>
      </w:r>
      <w:r>
        <w:rPr>
          <w:rFonts w:hint="eastAsia" w:ascii="宋体" w:hAnsi="宋体" w:eastAsia="宋体" w:cs="宋体"/>
          <w:sz w:val="32"/>
          <w:szCs w:val="32"/>
          <w:lang w:bidi="ar"/>
        </w:rPr>
        <w:t>口两侧,且不应设置在走廊或疏散通道上,不应影响车辆和人员正常通行。</w:t>
      </w:r>
    </w:p>
    <w:p w14:paraId="30CDB534">
      <w:pPr>
        <w:pStyle w:val="8"/>
        <w:widowControl/>
        <w:spacing w:beforeAutospacing="0" w:afterAutospacing="0" w:line="560" w:lineRule="exact"/>
        <w:jc w:val="both"/>
        <w:rPr>
          <w:rFonts w:hint="eastAsia" w:ascii="宋体" w:hAnsi="宋体" w:eastAsia="宋体" w:cs="宋体"/>
          <w:sz w:val="32"/>
          <w:szCs w:val="32"/>
        </w:rPr>
      </w:pPr>
      <w:r>
        <w:rPr>
          <w:rFonts w:hint="eastAsia" w:ascii="宋体" w:hAnsi="宋体" w:eastAsia="宋体" w:cs="宋体"/>
          <w:sz w:val="32"/>
          <w:szCs w:val="32"/>
        </w:rPr>
        <w:t>1</w:t>
      </w:r>
      <w:r>
        <w:rPr>
          <w:rFonts w:hint="eastAsia" w:ascii="宋体" w:hAnsi="宋体" w:eastAsia="宋体" w:cs="宋体"/>
          <w:sz w:val="32"/>
          <w:szCs w:val="32"/>
          <w:lang w:val="en-US" w:eastAsia="zh-CN"/>
        </w:rPr>
        <w:t>0</w:t>
      </w:r>
      <w:r>
        <w:rPr>
          <w:rFonts w:hint="eastAsia" w:ascii="宋体" w:hAnsi="宋体" w:eastAsia="宋体" w:cs="宋体"/>
          <w:sz w:val="32"/>
          <w:szCs w:val="32"/>
        </w:rPr>
        <w:t>.1.3 住宅</w:t>
      </w:r>
      <w:r>
        <w:rPr>
          <w:rFonts w:hint="eastAsia" w:ascii="宋体" w:hAnsi="宋体" w:eastAsia="宋体" w:cs="宋体"/>
          <w:sz w:val="32"/>
          <w:szCs w:val="32"/>
          <w:lang w:eastAsia="zh"/>
          <w:woUserID w:val="1"/>
        </w:rPr>
        <w:t>建筑</w:t>
      </w:r>
      <w:r>
        <w:rPr>
          <w:rFonts w:hint="eastAsia" w:ascii="宋体" w:hAnsi="宋体" w:eastAsia="宋体" w:cs="宋体"/>
          <w:sz w:val="32"/>
          <w:szCs w:val="32"/>
        </w:rPr>
        <w:t>内充电设施应纳入有序充电系统统一管理。</w:t>
      </w:r>
    </w:p>
    <w:p w14:paraId="401684D7">
      <w:pPr>
        <w:pStyle w:val="8"/>
        <w:widowControl/>
        <w:spacing w:beforeAutospacing="0" w:afterAutospacing="0" w:line="560" w:lineRule="exact"/>
        <w:ind w:firstLine="640" w:firstLineChars="200"/>
        <w:jc w:val="both"/>
        <w:rPr>
          <w:rFonts w:hint="eastAsia" w:ascii="宋体" w:hAnsi="宋体" w:eastAsia="宋体" w:cs="宋体"/>
          <w:sz w:val="32"/>
          <w:szCs w:val="32"/>
          <w:lang w:bidi="ar"/>
        </w:rPr>
      </w:pPr>
      <w:r>
        <w:rPr>
          <w:rFonts w:hint="eastAsia" w:ascii="宋体" w:hAnsi="宋体" w:eastAsia="宋体" w:cs="宋体"/>
          <w:sz w:val="32"/>
          <w:szCs w:val="32"/>
          <w:lang w:val="en-US" w:eastAsia="zh-CN" w:bidi="ar"/>
        </w:rPr>
        <w:t>1 充电运营管理平台应能接收电网负荷调控指令，制定有序充电策略并下发至充电设备。</w:t>
      </w:r>
    </w:p>
    <w:p w14:paraId="43FAF7FA">
      <w:pPr>
        <w:pStyle w:val="8"/>
        <w:widowControl/>
        <w:spacing w:beforeAutospacing="0" w:afterAutospacing="0" w:line="560" w:lineRule="exact"/>
        <w:ind w:firstLine="640" w:firstLineChars="200"/>
        <w:jc w:val="both"/>
        <w:rPr>
          <w:rFonts w:hint="eastAsia" w:ascii="宋体" w:hAnsi="宋体" w:eastAsia="宋体" w:cs="宋体"/>
          <w:sz w:val="32"/>
          <w:szCs w:val="32"/>
          <w:lang w:bidi="ar"/>
        </w:rPr>
      </w:pPr>
      <w:r>
        <w:rPr>
          <w:rFonts w:hint="eastAsia" w:ascii="宋体" w:hAnsi="宋体" w:eastAsia="宋体" w:cs="宋体"/>
          <w:sz w:val="32"/>
          <w:szCs w:val="32"/>
          <w:lang w:val="en-US" w:eastAsia="zh-CN" w:bidi="ar"/>
        </w:rPr>
        <w:t xml:space="preserve">2 </w:t>
      </w:r>
      <w:r>
        <w:rPr>
          <w:rFonts w:hint="eastAsia" w:ascii="宋体" w:hAnsi="宋体" w:eastAsia="宋体" w:cs="宋体"/>
          <w:sz w:val="32"/>
          <w:szCs w:val="32"/>
          <w:lang w:bidi="ar"/>
        </w:rPr>
        <w:t>平台应具备远程启停充电、安全预警、峰谷计量计费功能。</w:t>
      </w:r>
    </w:p>
    <w:p w14:paraId="21C534C4">
      <w:pPr>
        <w:widowControl/>
        <w:spacing w:line="560" w:lineRule="exact"/>
        <w:jc w:val="left"/>
        <w:rPr>
          <w:rFonts w:hint="eastAsia" w:ascii="宋体" w:hAnsi="宋体" w:eastAsia="宋体" w:cs="宋体"/>
          <w:spacing w:val="6"/>
          <w:sz w:val="32"/>
          <w:szCs w:val="32"/>
          <w:lang w:val="en-US" w:eastAsia="zh-CN" w:bidi="ar"/>
        </w:rPr>
      </w:pPr>
      <w:r>
        <w:rPr>
          <w:rFonts w:hint="eastAsia" w:ascii="宋体" w:hAnsi="宋体" w:eastAsia="宋体" w:cs="宋体"/>
          <w:kern w:val="0"/>
          <w:sz w:val="32"/>
          <w:szCs w:val="32"/>
          <w:lang w:bidi="ar"/>
        </w:rPr>
        <w:t>1</w:t>
      </w:r>
      <w:r>
        <w:rPr>
          <w:rFonts w:hint="eastAsia" w:ascii="宋体" w:hAnsi="宋体" w:eastAsia="宋体" w:cs="宋体"/>
          <w:kern w:val="0"/>
          <w:sz w:val="32"/>
          <w:szCs w:val="32"/>
          <w:lang w:val="en-US" w:eastAsia="zh-CN" w:bidi="ar"/>
        </w:rPr>
        <w:t>0</w:t>
      </w:r>
      <w:r>
        <w:rPr>
          <w:rFonts w:hint="eastAsia" w:ascii="宋体" w:hAnsi="宋体" w:eastAsia="宋体" w:cs="宋体"/>
          <w:kern w:val="0"/>
          <w:sz w:val="32"/>
          <w:szCs w:val="32"/>
          <w:lang w:bidi="ar"/>
        </w:rPr>
        <w:t>.1.</w:t>
      </w:r>
      <w:r>
        <w:rPr>
          <w:rFonts w:hint="eastAsia" w:ascii="宋体" w:hAnsi="宋体" w:eastAsia="宋体" w:cs="宋体"/>
          <w:kern w:val="0"/>
          <w:sz w:val="32"/>
          <w:szCs w:val="32"/>
          <w:lang w:eastAsia="zh" w:bidi="ar"/>
          <w:woUserID w:val="1"/>
        </w:rPr>
        <w:t>4</w:t>
      </w:r>
      <w:r>
        <w:rPr>
          <w:rFonts w:hint="eastAsia" w:ascii="宋体" w:hAnsi="宋体" w:eastAsia="宋体" w:cs="宋体"/>
          <w:kern w:val="0"/>
          <w:sz w:val="32"/>
          <w:szCs w:val="32"/>
          <w:lang w:bidi="ar"/>
        </w:rPr>
        <w:t xml:space="preserve"> 新建住宅</w:t>
      </w:r>
      <w:r>
        <w:rPr>
          <w:rFonts w:hint="eastAsia" w:ascii="宋体" w:hAnsi="宋体" w:eastAsia="宋体" w:cs="宋体"/>
          <w:kern w:val="0"/>
          <w:sz w:val="32"/>
          <w:szCs w:val="32"/>
          <w:lang w:eastAsia="zh" w:bidi="ar"/>
          <w:woUserID w:val="1"/>
        </w:rPr>
        <w:t>建筑</w:t>
      </w:r>
      <w:r>
        <w:rPr>
          <w:rFonts w:hint="eastAsia" w:ascii="宋体" w:hAnsi="宋体" w:eastAsia="宋体" w:cs="宋体"/>
          <w:kern w:val="0"/>
          <w:sz w:val="32"/>
          <w:szCs w:val="32"/>
          <w:lang w:bidi="ar"/>
        </w:rPr>
        <w:t>应配建电动自行车集中充电点及附属配套设施。</w:t>
      </w:r>
      <w:r>
        <w:rPr>
          <w:rFonts w:hint="eastAsia" w:ascii="宋体" w:hAnsi="宋体" w:eastAsia="宋体" w:cs="宋体"/>
          <w:spacing w:val="6"/>
          <w:sz w:val="32"/>
          <w:szCs w:val="32"/>
          <w:lang w:val="en-US" w:eastAsia="zh-CN" w:bidi="ar"/>
        </w:rPr>
        <w:t>严禁在建筑内的公共门厅、疏散走道、楼梯间、安全出口等公共区域停放电动自行车或充电，严禁利用电梯运载电动自行车及其蓄电池。</w:t>
      </w:r>
    </w:p>
    <w:p w14:paraId="3B7227AB">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bidi="ar"/>
        </w:rPr>
      </w:pPr>
      <w:r>
        <w:rPr>
          <w:rFonts w:hint="eastAsia" w:ascii="宋体" w:hAnsi="宋体" w:eastAsia="宋体" w:cs="宋体"/>
          <w:b/>
          <w:bCs/>
          <w:color w:val="000000"/>
          <w:spacing w:val="-6"/>
          <w:kern w:val="0"/>
          <w:sz w:val="32"/>
          <w:szCs w:val="32"/>
          <w:lang w:bidi="ar"/>
        </w:rPr>
        <w:t>1</w:t>
      </w:r>
      <w:r>
        <w:rPr>
          <w:rFonts w:hint="eastAsia" w:ascii="宋体" w:hAnsi="宋体" w:eastAsia="宋体" w:cs="宋体"/>
          <w:b/>
          <w:bCs/>
          <w:color w:val="000000"/>
          <w:spacing w:val="-6"/>
          <w:kern w:val="0"/>
          <w:sz w:val="32"/>
          <w:szCs w:val="32"/>
          <w:lang w:val="en-US" w:eastAsia="zh-CN" w:bidi="ar"/>
        </w:rPr>
        <w:t>0</w:t>
      </w:r>
      <w:r>
        <w:rPr>
          <w:rFonts w:hint="eastAsia" w:ascii="宋体" w:hAnsi="宋体" w:eastAsia="宋体" w:cs="宋体"/>
          <w:b/>
          <w:bCs/>
          <w:color w:val="000000"/>
          <w:spacing w:val="-6"/>
          <w:kern w:val="0"/>
          <w:sz w:val="32"/>
          <w:szCs w:val="32"/>
          <w:lang w:bidi="ar"/>
        </w:rPr>
        <w:t xml:space="preserve">.2 </w:t>
      </w:r>
      <w:r>
        <w:rPr>
          <w:rFonts w:hint="eastAsia" w:ascii="宋体" w:hAnsi="宋体" w:eastAsia="宋体" w:cs="宋体"/>
          <w:b/>
          <w:bCs/>
          <w:color w:val="000000"/>
          <w:spacing w:val="-6"/>
          <w:kern w:val="0"/>
          <w:sz w:val="32"/>
          <w:szCs w:val="32"/>
          <w:lang w:val="en-US" w:eastAsia="zh-CN" w:bidi="ar"/>
        </w:rPr>
        <w:t>充电桩</w:t>
      </w:r>
      <w:r>
        <w:rPr>
          <w:rFonts w:hint="eastAsia" w:ascii="宋体" w:hAnsi="宋体" w:eastAsia="宋体" w:cs="宋体"/>
          <w:b/>
          <w:bCs/>
          <w:color w:val="000000"/>
          <w:spacing w:val="-6"/>
          <w:kern w:val="0"/>
          <w:sz w:val="32"/>
          <w:szCs w:val="32"/>
          <w:lang w:bidi="ar"/>
        </w:rPr>
        <w:t>配建标准</w:t>
      </w:r>
    </w:p>
    <w:p w14:paraId="6DCEF495">
      <w:pPr>
        <w:pStyle w:val="8"/>
        <w:widowControl/>
        <w:spacing w:beforeAutospacing="0" w:afterAutospacing="0" w:line="560" w:lineRule="exact"/>
        <w:jc w:val="both"/>
        <w:rPr>
          <w:rFonts w:hint="eastAsia" w:ascii="宋体" w:hAnsi="宋体" w:eastAsia="宋体" w:cs="宋体"/>
          <w:sz w:val="32"/>
          <w:szCs w:val="32"/>
          <w:lang w:bidi="ar"/>
        </w:rPr>
      </w:pPr>
      <w:r>
        <w:rPr>
          <w:rFonts w:hint="eastAsia" w:ascii="宋体" w:hAnsi="宋体" w:eastAsia="宋体" w:cs="宋体"/>
          <w:sz w:val="32"/>
          <w:szCs w:val="32"/>
          <w:lang w:bidi="ar"/>
        </w:rPr>
        <w:t>1</w:t>
      </w:r>
      <w:r>
        <w:rPr>
          <w:rFonts w:hint="eastAsia" w:ascii="宋体" w:hAnsi="宋体" w:eastAsia="宋体" w:cs="宋体"/>
          <w:sz w:val="32"/>
          <w:szCs w:val="32"/>
          <w:lang w:eastAsia="zh" w:bidi="ar"/>
          <w:woUserID w:val="1"/>
        </w:rPr>
        <w:t>0</w:t>
      </w:r>
      <w:r>
        <w:rPr>
          <w:rFonts w:hint="eastAsia" w:ascii="宋体" w:hAnsi="宋体" w:eastAsia="宋体" w:cs="宋体"/>
          <w:sz w:val="32"/>
          <w:szCs w:val="32"/>
          <w:lang w:bidi="ar"/>
        </w:rPr>
        <w:t>.2.1 新建住宅建筑配建停车位按照泊位数量一定比例建设充电设施或预留相应建设安装条件</w:t>
      </w:r>
      <w:r>
        <w:rPr>
          <w:rFonts w:hint="eastAsia" w:ascii="宋体" w:hAnsi="宋体" w:eastAsia="宋体" w:cs="宋体"/>
          <w:sz w:val="32"/>
          <w:szCs w:val="32"/>
          <w:lang w:eastAsia="zh-CN" w:bidi="ar"/>
        </w:rPr>
        <w:t>。</w:t>
      </w:r>
      <w:r>
        <w:rPr>
          <w:rFonts w:hint="eastAsia" w:ascii="宋体" w:hAnsi="宋体" w:eastAsia="宋体" w:cs="宋体"/>
          <w:sz w:val="32"/>
          <w:szCs w:val="32"/>
          <w:lang w:bidi="ar"/>
        </w:rPr>
        <w:t>充电设施配建比例要求，</w:t>
      </w:r>
      <w:r>
        <w:rPr>
          <w:rFonts w:hint="eastAsia" w:ascii="宋体" w:hAnsi="宋体" w:eastAsia="宋体" w:cs="宋体"/>
          <w:sz w:val="32"/>
          <w:szCs w:val="32"/>
          <w:lang w:val="en-US" w:eastAsia="zh-CN" w:bidi="ar"/>
        </w:rPr>
        <w:t>每个防火分区</w:t>
      </w:r>
      <w:r>
        <w:rPr>
          <w:rFonts w:hint="eastAsia" w:ascii="宋体" w:hAnsi="宋体" w:eastAsia="宋体" w:cs="宋体"/>
          <w:sz w:val="32"/>
          <w:szCs w:val="32"/>
          <w:lang w:bidi="ar"/>
        </w:rPr>
        <w:t>建设20%，预留条件80%。充电设施工程做法要求可参照表1</w:t>
      </w:r>
      <w:r>
        <w:rPr>
          <w:rFonts w:hint="eastAsia" w:ascii="宋体" w:hAnsi="宋体" w:eastAsia="宋体" w:cs="宋体"/>
          <w:sz w:val="32"/>
          <w:szCs w:val="32"/>
          <w:lang w:val="en-US" w:eastAsia="zh-CN" w:bidi="ar"/>
        </w:rPr>
        <w:t>0</w:t>
      </w:r>
      <w:r>
        <w:rPr>
          <w:rFonts w:hint="eastAsia" w:ascii="宋体" w:hAnsi="宋体" w:eastAsia="宋体" w:cs="宋体"/>
          <w:sz w:val="32"/>
          <w:szCs w:val="32"/>
          <w:lang w:bidi="ar"/>
        </w:rPr>
        <w:t>.2.1。</w:t>
      </w:r>
    </w:p>
    <w:p w14:paraId="63E7B418">
      <w:pPr>
        <w:pStyle w:val="8"/>
        <w:widowControl/>
        <w:spacing w:beforeAutospacing="0" w:afterAutospacing="0" w:line="560" w:lineRule="exact"/>
        <w:jc w:val="center"/>
        <w:rPr>
          <w:rFonts w:hint="eastAsia" w:ascii="宋体" w:hAnsi="宋体" w:eastAsia="宋体" w:cs="宋体"/>
          <w:sz w:val="24"/>
          <w:szCs w:val="24"/>
        </w:rPr>
      </w:pPr>
      <w:r>
        <w:rPr>
          <w:rFonts w:hint="eastAsia" w:ascii="宋体" w:hAnsi="宋体" w:eastAsia="宋体" w:cs="宋体"/>
          <w:sz w:val="24"/>
          <w:szCs w:val="24"/>
        </w:rPr>
        <w:t>表1</w:t>
      </w:r>
      <w:r>
        <w:rPr>
          <w:rFonts w:hint="eastAsia" w:ascii="宋体" w:hAnsi="宋体" w:eastAsia="宋体" w:cs="宋体"/>
          <w:sz w:val="24"/>
          <w:szCs w:val="24"/>
          <w:lang w:eastAsia="zh"/>
          <w:woUserID w:val="1"/>
        </w:rPr>
        <w:t>0</w:t>
      </w:r>
      <w:r>
        <w:rPr>
          <w:rFonts w:hint="eastAsia" w:ascii="宋体" w:hAnsi="宋体" w:eastAsia="宋体" w:cs="宋体"/>
          <w:sz w:val="24"/>
          <w:szCs w:val="24"/>
        </w:rPr>
        <w:t>.2.1 充电设施工程做法</w:t>
      </w:r>
    </w:p>
    <w:tbl>
      <w:tblPr>
        <w:tblStyle w:val="17"/>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979"/>
        <w:gridCol w:w="3160"/>
        <w:gridCol w:w="1587"/>
        <w:gridCol w:w="1588"/>
      </w:tblGrid>
      <w:tr w14:paraId="3120D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090" w:type="pct"/>
            <w:gridSpan w:val="2"/>
            <w:vMerge w:val="restart"/>
            <w:tcBorders>
              <w:bottom w:val="nil"/>
            </w:tcBorders>
            <w:vAlign w:val="center"/>
          </w:tcPr>
          <w:p w14:paraId="7DB47C7F">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配套设施</w:t>
            </w:r>
          </w:p>
        </w:tc>
        <w:tc>
          <w:tcPr>
            <w:tcW w:w="1909" w:type="pct"/>
            <w:gridSpan w:val="2"/>
            <w:vAlign w:val="center"/>
          </w:tcPr>
          <w:p w14:paraId="51F38F2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建设要求</w:t>
            </w:r>
          </w:p>
        </w:tc>
      </w:tr>
      <w:tr w14:paraId="52193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090" w:type="pct"/>
            <w:gridSpan w:val="2"/>
            <w:vMerge w:val="continue"/>
            <w:tcBorders>
              <w:top w:val="nil"/>
            </w:tcBorders>
            <w:vAlign w:val="center"/>
          </w:tcPr>
          <w:p w14:paraId="722B6FDA">
            <w:pPr>
              <w:pStyle w:val="8"/>
              <w:widowControl/>
              <w:spacing w:beforeAutospacing="0" w:afterAutospacing="0" w:line="240" w:lineRule="auto"/>
              <w:jc w:val="center"/>
              <w:rPr>
                <w:rFonts w:hint="eastAsia" w:ascii="宋体" w:hAnsi="宋体" w:eastAsia="宋体" w:cs="宋体"/>
                <w:sz w:val="24"/>
                <w:szCs w:val="24"/>
              </w:rPr>
            </w:pPr>
          </w:p>
        </w:tc>
        <w:tc>
          <w:tcPr>
            <w:tcW w:w="954" w:type="pct"/>
            <w:vAlign w:val="center"/>
          </w:tcPr>
          <w:p w14:paraId="1DBC0A84">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直接建设</w:t>
            </w:r>
          </w:p>
        </w:tc>
        <w:tc>
          <w:tcPr>
            <w:tcW w:w="954" w:type="pct"/>
            <w:vAlign w:val="center"/>
          </w:tcPr>
          <w:p w14:paraId="5911E49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预留条件</w:t>
            </w:r>
          </w:p>
        </w:tc>
      </w:tr>
      <w:tr w14:paraId="66C47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090" w:type="pct"/>
            <w:gridSpan w:val="2"/>
            <w:vAlign w:val="center"/>
          </w:tcPr>
          <w:p w14:paraId="6299B3A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外电源管线</w:t>
            </w:r>
          </w:p>
        </w:tc>
        <w:tc>
          <w:tcPr>
            <w:tcW w:w="954" w:type="pct"/>
            <w:vAlign w:val="center"/>
          </w:tcPr>
          <w:p w14:paraId="508B68BD">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249438C5">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72197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090" w:type="pct"/>
            <w:gridSpan w:val="2"/>
            <w:vAlign w:val="center"/>
          </w:tcPr>
          <w:p w14:paraId="21BB636B">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变压器</w:t>
            </w:r>
          </w:p>
        </w:tc>
        <w:tc>
          <w:tcPr>
            <w:tcW w:w="954" w:type="pct"/>
            <w:vAlign w:val="center"/>
          </w:tcPr>
          <w:p w14:paraId="13409294">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2092C536">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4B344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090" w:type="pct"/>
            <w:gridSpan w:val="2"/>
            <w:vAlign w:val="center"/>
          </w:tcPr>
          <w:p w14:paraId="5C629196">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充电设备</w:t>
            </w:r>
          </w:p>
        </w:tc>
        <w:tc>
          <w:tcPr>
            <w:tcW w:w="954" w:type="pct"/>
            <w:vAlign w:val="center"/>
          </w:tcPr>
          <w:p w14:paraId="2738624F">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56F2B9F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4DDAA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090" w:type="pct"/>
            <w:gridSpan w:val="2"/>
            <w:vAlign w:val="center"/>
          </w:tcPr>
          <w:p w14:paraId="05D02AF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有线网络</w:t>
            </w:r>
          </w:p>
        </w:tc>
        <w:tc>
          <w:tcPr>
            <w:tcW w:w="954" w:type="pct"/>
            <w:vAlign w:val="center"/>
          </w:tcPr>
          <w:p w14:paraId="136FBDDD">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7FAFA48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06A2F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090" w:type="pct"/>
            <w:gridSpan w:val="2"/>
            <w:vAlign w:val="center"/>
          </w:tcPr>
          <w:p w14:paraId="217CFC7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视频安防监控系统</w:t>
            </w:r>
          </w:p>
        </w:tc>
        <w:tc>
          <w:tcPr>
            <w:tcW w:w="954" w:type="pct"/>
            <w:vAlign w:val="center"/>
          </w:tcPr>
          <w:p w14:paraId="2E6254E5">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05C1B0C3">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0F5E4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090" w:type="pct"/>
            <w:gridSpan w:val="2"/>
            <w:vAlign w:val="center"/>
          </w:tcPr>
          <w:p w14:paraId="6BF9417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能耗监测设备及系统</w:t>
            </w:r>
          </w:p>
        </w:tc>
        <w:tc>
          <w:tcPr>
            <w:tcW w:w="954" w:type="pct"/>
            <w:vAlign w:val="center"/>
          </w:tcPr>
          <w:p w14:paraId="1CA10837">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3DE97EE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75236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90" w:type="pct"/>
            <w:vMerge w:val="restart"/>
            <w:tcBorders>
              <w:bottom w:val="nil"/>
            </w:tcBorders>
            <w:vAlign w:val="center"/>
          </w:tcPr>
          <w:p w14:paraId="569BA51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第一级配电</w:t>
            </w:r>
          </w:p>
        </w:tc>
        <w:tc>
          <w:tcPr>
            <w:tcW w:w="1900" w:type="pct"/>
            <w:vAlign w:val="center"/>
          </w:tcPr>
          <w:p w14:paraId="7ABEE1A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低压配电柜</w:t>
            </w:r>
          </w:p>
        </w:tc>
        <w:tc>
          <w:tcPr>
            <w:tcW w:w="954" w:type="pct"/>
            <w:vAlign w:val="center"/>
          </w:tcPr>
          <w:p w14:paraId="03819CE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690F57AA">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166BD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90" w:type="pct"/>
            <w:vMerge w:val="continue"/>
            <w:tcBorders>
              <w:top w:val="nil"/>
              <w:bottom w:val="nil"/>
            </w:tcBorders>
            <w:vAlign w:val="center"/>
          </w:tcPr>
          <w:p w14:paraId="1C0631C5">
            <w:pPr>
              <w:pStyle w:val="8"/>
              <w:widowControl/>
              <w:spacing w:beforeAutospacing="0" w:afterAutospacing="0" w:line="240" w:lineRule="auto"/>
              <w:jc w:val="center"/>
              <w:rPr>
                <w:rFonts w:hint="eastAsia" w:ascii="宋体" w:hAnsi="宋体" w:eastAsia="宋体" w:cs="宋体"/>
                <w:sz w:val="24"/>
                <w:szCs w:val="24"/>
              </w:rPr>
            </w:pPr>
          </w:p>
        </w:tc>
        <w:tc>
          <w:tcPr>
            <w:tcW w:w="1900" w:type="pct"/>
            <w:vAlign w:val="center"/>
          </w:tcPr>
          <w:p w14:paraId="6D7F06E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电缆桥架、保护管</w:t>
            </w:r>
          </w:p>
        </w:tc>
        <w:tc>
          <w:tcPr>
            <w:tcW w:w="954" w:type="pct"/>
            <w:vAlign w:val="center"/>
          </w:tcPr>
          <w:p w14:paraId="0647AC1F">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55EE4559">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3CF5C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90" w:type="pct"/>
            <w:vMerge w:val="continue"/>
            <w:tcBorders>
              <w:top w:val="nil"/>
            </w:tcBorders>
            <w:vAlign w:val="center"/>
          </w:tcPr>
          <w:p w14:paraId="0082F5FC">
            <w:pPr>
              <w:pStyle w:val="8"/>
              <w:widowControl/>
              <w:spacing w:beforeAutospacing="0" w:afterAutospacing="0" w:line="240" w:lineRule="auto"/>
              <w:jc w:val="center"/>
              <w:rPr>
                <w:rFonts w:hint="eastAsia" w:ascii="宋体" w:hAnsi="宋体" w:eastAsia="宋体" w:cs="宋体"/>
                <w:sz w:val="24"/>
                <w:szCs w:val="24"/>
              </w:rPr>
            </w:pPr>
          </w:p>
        </w:tc>
        <w:tc>
          <w:tcPr>
            <w:tcW w:w="1900" w:type="pct"/>
            <w:vAlign w:val="center"/>
          </w:tcPr>
          <w:p w14:paraId="60A1DA7E">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干线电缆</w:t>
            </w:r>
          </w:p>
        </w:tc>
        <w:tc>
          <w:tcPr>
            <w:tcW w:w="954" w:type="pct"/>
            <w:vAlign w:val="center"/>
          </w:tcPr>
          <w:p w14:paraId="2E01F15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12647635">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248C0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90" w:type="pct"/>
            <w:vMerge w:val="restart"/>
            <w:tcBorders>
              <w:bottom w:val="nil"/>
            </w:tcBorders>
            <w:vAlign w:val="center"/>
          </w:tcPr>
          <w:p w14:paraId="60EAF33B">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第二级配电</w:t>
            </w:r>
          </w:p>
        </w:tc>
        <w:tc>
          <w:tcPr>
            <w:tcW w:w="1900" w:type="pct"/>
            <w:vAlign w:val="center"/>
          </w:tcPr>
          <w:p w14:paraId="5068EE5B">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区域配电柜</w:t>
            </w:r>
          </w:p>
        </w:tc>
        <w:tc>
          <w:tcPr>
            <w:tcW w:w="954" w:type="pct"/>
            <w:vAlign w:val="center"/>
          </w:tcPr>
          <w:p w14:paraId="5E13E36A">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4AFDD76A">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7E8C0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90" w:type="pct"/>
            <w:vMerge w:val="continue"/>
            <w:tcBorders>
              <w:top w:val="nil"/>
              <w:bottom w:val="nil"/>
            </w:tcBorders>
            <w:vAlign w:val="center"/>
          </w:tcPr>
          <w:p w14:paraId="6B25CF46">
            <w:pPr>
              <w:pStyle w:val="8"/>
              <w:widowControl/>
              <w:spacing w:beforeAutospacing="0" w:afterAutospacing="0" w:line="240" w:lineRule="auto"/>
              <w:jc w:val="center"/>
              <w:rPr>
                <w:rFonts w:hint="eastAsia" w:ascii="宋体" w:hAnsi="宋体" w:eastAsia="宋体" w:cs="宋体"/>
                <w:sz w:val="24"/>
                <w:szCs w:val="24"/>
              </w:rPr>
            </w:pPr>
          </w:p>
        </w:tc>
        <w:tc>
          <w:tcPr>
            <w:tcW w:w="1900" w:type="pct"/>
            <w:vAlign w:val="center"/>
          </w:tcPr>
          <w:p w14:paraId="1D97122A">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电缆桥架、保护管</w:t>
            </w:r>
          </w:p>
        </w:tc>
        <w:tc>
          <w:tcPr>
            <w:tcW w:w="954" w:type="pct"/>
            <w:vAlign w:val="center"/>
          </w:tcPr>
          <w:p w14:paraId="09E585A4">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79AE0FC8">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0C2AB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90" w:type="pct"/>
            <w:vMerge w:val="continue"/>
            <w:tcBorders>
              <w:top w:val="nil"/>
              <w:bottom w:val="single" w:color="auto" w:sz="4" w:space="0"/>
            </w:tcBorders>
            <w:vAlign w:val="center"/>
          </w:tcPr>
          <w:p w14:paraId="1B5989FE">
            <w:pPr>
              <w:pStyle w:val="8"/>
              <w:widowControl/>
              <w:spacing w:beforeAutospacing="0" w:afterAutospacing="0" w:line="240" w:lineRule="auto"/>
              <w:jc w:val="center"/>
              <w:rPr>
                <w:rFonts w:hint="eastAsia" w:ascii="宋体" w:hAnsi="宋体" w:eastAsia="宋体" w:cs="宋体"/>
                <w:sz w:val="24"/>
                <w:szCs w:val="24"/>
              </w:rPr>
            </w:pPr>
          </w:p>
        </w:tc>
        <w:tc>
          <w:tcPr>
            <w:tcW w:w="1900" w:type="pct"/>
            <w:vAlign w:val="center"/>
          </w:tcPr>
          <w:p w14:paraId="51A8261B">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配电支路电缆</w:t>
            </w:r>
          </w:p>
        </w:tc>
        <w:tc>
          <w:tcPr>
            <w:tcW w:w="954" w:type="pct"/>
            <w:vAlign w:val="center"/>
          </w:tcPr>
          <w:p w14:paraId="73463C9C">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7D442EA2">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29B0D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1190" w:type="pct"/>
            <w:tcBorders>
              <w:top w:val="single" w:color="auto" w:sz="4" w:space="0"/>
            </w:tcBorders>
            <w:vAlign w:val="center"/>
          </w:tcPr>
          <w:p w14:paraId="1FDD957D">
            <w:pPr>
              <w:pStyle w:val="8"/>
              <w:widowControl/>
              <w:spacing w:beforeAutospacing="0" w:afterAutospacing="0"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级配电</w:t>
            </w:r>
          </w:p>
        </w:tc>
        <w:tc>
          <w:tcPr>
            <w:tcW w:w="1900" w:type="pct"/>
            <w:vAlign w:val="center"/>
          </w:tcPr>
          <w:p w14:paraId="616F98C7">
            <w:pPr>
              <w:pStyle w:val="8"/>
              <w:widowControl/>
              <w:spacing w:beforeAutospacing="0" w:afterAutospacing="0" w:line="240" w:lineRule="auto"/>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集中表箱（不含表计）</w:t>
            </w:r>
          </w:p>
        </w:tc>
        <w:tc>
          <w:tcPr>
            <w:tcW w:w="954" w:type="pct"/>
            <w:vAlign w:val="center"/>
          </w:tcPr>
          <w:p w14:paraId="0F1400BB">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954" w:type="pct"/>
            <w:vAlign w:val="center"/>
          </w:tcPr>
          <w:p w14:paraId="456413EF">
            <w:pPr>
              <w:pStyle w:val="8"/>
              <w:widowControl/>
              <w:spacing w:beforeAutospacing="0" w:afterAutospacing="0"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bl>
    <w:p w14:paraId="59CD7178">
      <w:pPr>
        <w:pStyle w:val="8"/>
        <w:widowControl/>
        <w:spacing w:beforeAutospacing="0" w:afterAutospacing="0" w:line="560" w:lineRule="exact"/>
        <w:jc w:val="both"/>
        <w:rPr>
          <w:rFonts w:ascii="仿宋" w:hAnsi="仿宋" w:eastAsia="仿宋" w:cs="仿宋"/>
          <w:spacing w:val="6"/>
          <w:kern w:val="2"/>
          <w:sz w:val="32"/>
          <w:szCs w:val="32"/>
          <w:highlight w:val="yellow"/>
          <w:lang w:bidi="ar"/>
        </w:rPr>
      </w:pPr>
      <w:r>
        <w:rPr>
          <w:rFonts w:hint="eastAsia" w:ascii="宋体" w:hAnsi="宋体" w:eastAsia="宋体" w:cs="宋体"/>
          <w:sz w:val="24"/>
          <w:szCs w:val="24"/>
          <w:lang w:bidi="ar"/>
        </w:rPr>
        <w:t>注：直接建设应将充电桩安装到车位，以满足直接充电需求；预留条件应将变压器、干线电缆、配电柜等供配电设施安装到位，将管线和桥架等供电设施敷设到车位，并预留电表箱、充电设备安装位置，以满足直接装表接电需要。具体为：△为需要在土建工程竣工时预留安装空间；▲为需要随主体工程一次性建成内容。</w:t>
      </w:r>
    </w:p>
    <w:p w14:paraId="2C1807F5">
      <w:pPr>
        <w:pStyle w:val="8"/>
        <w:widowControl/>
        <w:spacing w:beforeAutospacing="0" w:afterAutospacing="0" w:line="560" w:lineRule="exact"/>
        <w:jc w:val="both"/>
        <w:rPr>
          <w:rFonts w:hint="eastAsia" w:ascii="宋体" w:hAnsi="宋体" w:eastAsia="宋体" w:cs="宋体"/>
          <w:sz w:val="32"/>
          <w:szCs w:val="32"/>
          <w:lang w:bidi="ar"/>
        </w:rPr>
      </w:pPr>
      <w:r>
        <w:rPr>
          <w:rFonts w:hint="eastAsia" w:ascii="宋体" w:hAnsi="宋体" w:eastAsia="宋体" w:cs="宋体"/>
          <w:sz w:val="32"/>
          <w:szCs w:val="32"/>
          <w:lang w:bidi="ar"/>
        </w:rPr>
        <w:t>1</w:t>
      </w:r>
      <w:r>
        <w:rPr>
          <w:rFonts w:hint="eastAsia" w:ascii="宋体" w:hAnsi="宋体" w:eastAsia="宋体" w:cs="宋体"/>
          <w:sz w:val="32"/>
          <w:szCs w:val="32"/>
          <w:lang w:val="en-US" w:eastAsia="zh-CN" w:bidi="ar"/>
        </w:rPr>
        <w:t>0</w:t>
      </w:r>
      <w:r>
        <w:rPr>
          <w:rFonts w:hint="eastAsia" w:ascii="宋体" w:hAnsi="宋体" w:eastAsia="宋体" w:cs="宋体"/>
          <w:sz w:val="32"/>
          <w:szCs w:val="32"/>
          <w:lang w:bidi="ar"/>
        </w:rPr>
        <w:t>.2.2 新建及既有建筑物配建充电设施需执行《电动汽车分散充电设施工程技术标准》GB51313相关规定:</w:t>
      </w:r>
    </w:p>
    <w:p w14:paraId="12103EFB">
      <w:pPr>
        <w:pStyle w:val="8"/>
        <w:widowControl/>
        <w:spacing w:beforeAutospacing="0" w:afterAutospacing="0" w:line="560" w:lineRule="exact"/>
        <w:ind w:firstLine="640" w:firstLineChars="200"/>
        <w:jc w:val="both"/>
        <w:rPr>
          <w:rFonts w:hint="eastAsia" w:ascii="宋体" w:hAnsi="宋体" w:eastAsia="宋体" w:cs="宋体"/>
          <w:sz w:val="32"/>
          <w:szCs w:val="32"/>
          <w:lang w:bidi="ar"/>
        </w:rPr>
      </w:pPr>
      <w:r>
        <w:rPr>
          <w:rFonts w:hint="eastAsia" w:ascii="宋体" w:hAnsi="宋体" w:eastAsia="宋体" w:cs="宋体"/>
          <w:sz w:val="32"/>
          <w:szCs w:val="32"/>
          <w:lang w:bidi="ar"/>
        </w:rPr>
        <w:t>1 地下、半地下车库内，未设置火灾自动报警系统、排烟设施、自动喷水系统、消防应急照明和疏散指示标志的，不得建设电动汽车充电设施；</w:t>
      </w:r>
    </w:p>
    <w:p w14:paraId="572809AD">
      <w:pPr>
        <w:pStyle w:val="8"/>
        <w:widowControl/>
        <w:spacing w:beforeAutospacing="0" w:afterAutospacing="0" w:line="560" w:lineRule="exact"/>
        <w:ind w:firstLine="640" w:firstLineChars="200"/>
        <w:jc w:val="both"/>
        <w:rPr>
          <w:rFonts w:hint="eastAsia" w:ascii="宋体" w:hAnsi="宋体" w:eastAsia="宋体" w:cs="宋体"/>
          <w:sz w:val="32"/>
          <w:szCs w:val="32"/>
          <w:lang w:bidi="ar"/>
        </w:rPr>
      </w:pPr>
      <w:r>
        <w:rPr>
          <w:rFonts w:hint="eastAsia" w:ascii="宋体" w:hAnsi="宋体" w:eastAsia="宋体" w:cs="宋体"/>
          <w:sz w:val="32"/>
          <w:szCs w:val="32"/>
          <w:lang w:bidi="ar"/>
        </w:rPr>
        <w:t>2 新建汽车库内配建的充电设施在同一防火分区应集中布置，设置独立的防火单元，每个防火单元应与其他防火单元和车库其他部位分隔；</w:t>
      </w:r>
    </w:p>
    <w:p w14:paraId="1DFA3CB7">
      <w:pPr>
        <w:pStyle w:val="8"/>
        <w:widowControl/>
        <w:spacing w:beforeAutospacing="0" w:afterAutospacing="0" w:line="560" w:lineRule="exact"/>
        <w:ind w:firstLine="640" w:firstLineChars="200"/>
        <w:jc w:val="both"/>
        <w:rPr>
          <w:rFonts w:hint="eastAsia" w:ascii="宋体" w:hAnsi="宋体" w:eastAsia="宋体" w:cs="宋体"/>
          <w:sz w:val="32"/>
          <w:szCs w:val="32"/>
          <w:lang w:val="en-US" w:eastAsia="zh-CN" w:bidi="ar"/>
        </w:rPr>
      </w:pPr>
      <w:r>
        <w:rPr>
          <w:rFonts w:hint="eastAsia" w:ascii="宋体" w:hAnsi="宋体" w:eastAsia="宋体" w:cs="宋体"/>
          <w:sz w:val="32"/>
          <w:szCs w:val="32"/>
          <w:lang w:val="en-US" w:eastAsia="zh-CN" w:bidi="ar"/>
        </w:rPr>
        <w:t>3 每个防火单元的最大允许建筑面积不应大于1000㎡</w:t>
      </w:r>
    </w:p>
    <w:p w14:paraId="38C401D3">
      <w:pPr>
        <w:pStyle w:val="8"/>
        <w:widowControl/>
        <w:spacing w:beforeAutospacing="0" w:afterAutospacing="0" w:line="560" w:lineRule="exact"/>
        <w:ind w:firstLine="640" w:firstLineChars="200"/>
        <w:jc w:val="both"/>
        <w:rPr>
          <w:rFonts w:hint="default" w:ascii="宋体" w:hAnsi="宋体" w:eastAsia="宋体" w:cs="宋体"/>
          <w:sz w:val="32"/>
          <w:szCs w:val="32"/>
          <w:lang w:val="en-US" w:eastAsia="zh-CN" w:bidi="ar"/>
        </w:rPr>
      </w:pPr>
      <w:r>
        <w:rPr>
          <w:rFonts w:hint="eastAsia" w:ascii="宋体" w:hAnsi="宋体" w:eastAsia="宋体" w:cs="宋体"/>
          <w:sz w:val="32"/>
          <w:szCs w:val="32"/>
          <w:lang w:val="en-US" w:eastAsia="zh-CN" w:bidi="ar"/>
        </w:rPr>
        <w:t>4 每个防火单元应采用耐火极限不小于2.00h的防火隔墙或防火卷帘等设施进行分隔。</w:t>
      </w:r>
    </w:p>
    <w:p w14:paraId="60C59503">
      <w:pPr>
        <w:pStyle w:val="8"/>
        <w:widowControl/>
        <w:spacing w:beforeAutospacing="0" w:afterAutospacing="0" w:line="560" w:lineRule="exact"/>
        <w:jc w:val="both"/>
        <w:rPr>
          <w:rFonts w:hint="eastAsia" w:ascii="宋体" w:hAnsi="宋体" w:eastAsia="宋体" w:cs="宋体"/>
          <w:sz w:val="32"/>
          <w:szCs w:val="32"/>
          <w:lang w:bidi="ar"/>
        </w:rPr>
      </w:pPr>
      <w:r>
        <w:rPr>
          <w:rFonts w:hint="eastAsia" w:ascii="宋体" w:hAnsi="宋体" w:eastAsia="宋体" w:cs="宋体"/>
          <w:sz w:val="32"/>
          <w:szCs w:val="32"/>
          <w:lang w:bidi="ar"/>
        </w:rPr>
        <w:t>1</w:t>
      </w:r>
      <w:r>
        <w:rPr>
          <w:rFonts w:hint="eastAsia" w:ascii="宋体" w:hAnsi="宋体" w:eastAsia="宋体" w:cs="宋体"/>
          <w:sz w:val="32"/>
          <w:szCs w:val="32"/>
          <w:lang w:val="en-US" w:eastAsia="zh-CN" w:bidi="ar"/>
        </w:rPr>
        <w:t>0</w:t>
      </w:r>
      <w:r>
        <w:rPr>
          <w:rFonts w:hint="eastAsia" w:ascii="宋体" w:hAnsi="宋体" w:eastAsia="宋体" w:cs="宋体"/>
          <w:sz w:val="32"/>
          <w:szCs w:val="32"/>
          <w:lang w:bidi="ar"/>
        </w:rPr>
        <w:t xml:space="preserve">.2.3 地下、半地下车库内表箱的安装需遵循“防火分区集中布置、不跨越防火分区”的要求。 </w:t>
      </w:r>
    </w:p>
    <w:p w14:paraId="46F22096">
      <w:pPr>
        <w:pStyle w:val="8"/>
        <w:widowControl/>
        <w:spacing w:beforeAutospacing="0" w:afterAutospacing="0" w:line="560" w:lineRule="exact"/>
        <w:jc w:val="both"/>
        <w:rPr>
          <w:rFonts w:hint="eastAsia" w:ascii="宋体" w:hAnsi="宋体" w:eastAsia="宋体" w:cs="宋体"/>
          <w:sz w:val="32"/>
          <w:szCs w:val="32"/>
          <w:lang w:bidi="ar"/>
        </w:rPr>
      </w:pPr>
      <w:r>
        <w:rPr>
          <w:rFonts w:hint="eastAsia" w:ascii="宋体" w:hAnsi="宋体" w:eastAsia="宋体" w:cs="宋体"/>
          <w:sz w:val="32"/>
          <w:szCs w:val="32"/>
          <w:lang w:bidi="ar"/>
        </w:rPr>
        <w:t>1</w:t>
      </w:r>
      <w:r>
        <w:rPr>
          <w:rFonts w:hint="eastAsia" w:ascii="宋体" w:hAnsi="宋体" w:eastAsia="宋体" w:cs="宋体"/>
          <w:sz w:val="32"/>
          <w:szCs w:val="32"/>
          <w:lang w:val="en-US" w:eastAsia="zh-CN" w:bidi="ar"/>
        </w:rPr>
        <w:t>0</w:t>
      </w:r>
      <w:r>
        <w:rPr>
          <w:rFonts w:hint="eastAsia" w:ascii="宋体" w:hAnsi="宋体" w:eastAsia="宋体" w:cs="宋体"/>
          <w:sz w:val="32"/>
          <w:szCs w:val="32"/>
          <w:lang w:bidi="ar"/>
        </w:rPr>
        <w:t>.2.4 集中布置的充电设施区域应按照《建筑灭火器配置设计规范》GB50140规定配备灭火器，其他充电设施区域宜与就近建筑物、汽车库、停车场共用消防设施。</w:t>
      </w:r>
    </w:p>
    <w:p w14:paraId="5E8AEDF6">
      <w:pPr>
        <w:pStyle w:val="8"/>
        <w:widowControl/>
        <w:spacing w:beforeAutospacing="0" w:afterAutospacing="0" w:line="560" w:lineRule="exact"/>
        <w:jc w:val="both"/>
        <w:rPr>
          <w:rFonts w:hint="eastAsia" w:ascii="宋体" w:hAnsi="宋体" w:eastAsia="宋体" w:cs="宋体"/>
          <w:sz w:val="32"/>
          <w:szCs w:val="32"/>
          <w:lang w:bidi="ar"/>
        </w:rPr>
      </w:pPr>
      <w:r>
        <w:rPr>
          <w:rFonts w:hint="eastAsia" w:ascii="宋体" w:hAnsi="宋体" w:eastAsia="宋体" w:cs="宋体"/>
          <w:sz w:val="32"/>
          <w:szCs w:val="32"/>
          <w:lang w:bidi="ar"/>
        </w:rPr>
        <w:t>1</w:t>
      </w:r>
      <w:r>
        <w:rPr>
          <w:rFonts w:hint="eastAsia" w:ascii="宋体" w:hAnsi="宋体" w:eastAsia="宋体" w:cs="宋体"/>
          <w:sz w:val="32"/>
          <w:szCs w:val="32"/>
          <w:lang w:val="en-US" w:eastAsia="zh-CN" w:bidi="ar"/>
        </w:rPr>
        <w:t>0</w:t>
      </w:r>
      <w:r>
        <w:rPr>
          <w:rFonts w:hint="eastAsia" w:ascii="宋体" w:hAnsi="宋体" w:eastAsia="宋体" w:cs="宋体"/>
          <w:sz w:val="32"/>
          <w:szCs w:val="32"/>
          <w:lang w:bidi="ar"/>
        </w:rPr>
        <w:t>.2.5充电设施基础底座内部电缆入口处应进行防火封堵，充电设施管线在穿越建筑外墙、隔墙、楼板后留下的空隙，应采用防火材料进行封堵。</w:t>
      </w:r>
    </w:p>
    <w:p w14:paraId="4B8E0AF7">
      <w:pPr>
        <w:pStyle w:val="8"/>
        <w:widowControl/>
        <w:spacing w:beforeAutospacing="0" w:afterAutospacing="0" w:line="560" w:lineRule="exact"/>
        <w:jc w:val="both"/>
        <w:rPr>
          <w:rFonts w:hint="eastAsia" w:ascii="宋体" w:hAnsi="宋体" w:eastAsia="宋体" w:cs="宋体"/>
          <w:sz w:val="32"/>
          <w:szCs w:val="32"/>
          <w:lang w:bidi="ar"/>
        </w:rPr>
      </w:pPr>
      <w:r>
        <w:rPr>
          <w:rFonts w:hint="eastAsia" w:ascii="宋体" w:hAnsi="宋体" w:eastAsia="宋体" w:cs="宋体"/>
          <w:sz w:val="32"/>
          <w:szCs w:val="32"/>
          <w:lang w:bidi="ar"/>
        </w:rPr>
        <w:t>1</w:t>
      </w:r>
      <w:r>
        <w:rPr>
          <w:rFonts w:hint="eastAsia" w:ascii="宋体" w:hAnsi="宋体" w:eastAsia="宋体" w:cs="宋体"/>
          <w:sz w:val="32"/>
          <w:szCs w:val="32"/>
          <w:lang w:val="en-US" w:eastAsia="zh-CN" w:bidi="ar"/>
        </w:rPr>
        <w:t>0</w:t>
      </w:r>
      <w:r>
        <w:rPr>
          <w:rFonts w:hint="eastAsia" w:ascii="宋体" w:hAnsi="宋体" w:eastAsia="宋体" w:cs="宋体"/>
          <w:sz w:val="32"/>
          <w:szCs w:val="32"/>
          <w:lang w:bidi="ar"/>
        </w:rPr>
        <w:t>.2.6充电设施发生火灾或事故时应能自行切断电源，监控装置应将报警信号传送到消防值班室。</w:t>
      </w:r>
    </w:p>
    <w:p w14:paraId="2E31ACA1">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val="en-US" w:eastAsia="zh-CN" w:bidi="ar"/>
        </w:rPr>
      </w:pPr>
      <w:r>
        <w:rPr>
          <w:rFonts w:hint="eastAsia" w:ascii="宋体" w:hAnsi="宋体" w:eastAsia="宋体" w:cs="宋体"/>
          <w:b/>
          <w:bCs/>
          <w:color w:val="000000"/>
          <w:spacing w:val="-6"/>
          <w:kern w:val="0"/>
          <w:sz w:val="32"/>
          <w:szCs w:val="32"/>
          <w:lang w:bidi="ar"/>
        </w:rPr>
        <w:t>1</w:t>
      </w:r>
      <w:r>
        <w:rPr>
          <w:rFonts w:hint="eastAsia" w:ascii="宋体" w:hAnsi="宋体" w:eastAsia="宋体" w:cs="宋体"/>
          <w:b/>
          <w:bCs/>
          <w:color w:val="000000"/>
          <w:spacing w:val="-6"/>
          <w:kern w:val="0"/>
          <w:sz w:val="32"/>
          <w:szCs w:val="32"/>
          <w:lang w:val="en-US" w:eastAsia="zh-CN" w:bidi="ar"/>
        </w:rPr>
        <w:t>0</w:t>
      </w:r>
      <w:r>
        <w:rPr>
          <w:rFonts w:hint="eastAsia" w:ascii="宋体" w:hAnsi="宋体" w:eastAsia="宋体" w:cs="宋体"/>
          <w:b/>
          <w:bCs/>
          <w:color w:val="000000"/>
          <w:spacing w:val="-6"/>
          <w:kern w:val="0"/>
          <w:sz w:val="32"/>
          <w:szCs w:val="32"/>
          <w:lang w:bidi="ar"/>
        </w:rPr>
        <w:t>.</w:t>
      </w:r>
      <w:r>
        <w:rPr>
          <w:rFonts w:hint="eastAsia" w:ascii="宋体" w:hAnsi="宋体" w:eastAsia="宋体" w:cs="宋体"/>
          <w:b/>
          <w:bCs/>
          <w:color w:val="000000"/>
          <w:spacing w:val="-6"/>
          <w:kern w:val="0"/>
          <w:sz w:val="32"/>
          <w:szCs w:val="32"/>
          <w:lang w:val="en-US" w:eastAsia="zh-CN" w:bidi="ar"/>
        </w:rPr>
        <w:t>3</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val="en-US" w:eastAsia="zh-CN" w:bidi="ar"/>
        </w:rPr>
        <w:t>电动自行车</w:t>
      </w:r>
    </w:p>
    <w:p w14:paraId="67A17A3E">
      <w:pPr>
        <w:widowControl/>
        <w:spacing w:line="560" w:lineRule="exact"/>
        <w:jc w:val="left"/>
        <w:rPr>
          <w:rFonts w:hint="default" w:ascii="宋体" w:hAnsi="宋体" w:eastAsia="宋体" w:cs="宋体"/>
          <w:spacing w:val="6"/>
          <w:sz w:val="32"/>
          <w:szCs w:val="32"/>
          <w:lang w:val="en-US" w:eastAsia="zh-CN" w:bidi="ar"/>
        </w:rPr>
      </w:pPr>
      <w:r>
        <w:rPr>
          <w:rFonts w:hint="eastAsia" w:ascii="宋体" w:hAnsi="宋体" w:eastAsia="宋体" w:cs="宋体"/>
          <w:spacing w:val="6"/>
          <w:sz w:val="32"/>
          <w:szCs w:val="32"/>
          <w:lang w:val="en-US" w:eastAsia="zh-CN" w:bidi="ar"/>
        </w:rPr>
        <w:t>10.3.1 电动自行车充电设施数量不宜小于电动自行车总车位数量的30%。</w:t>
      </w:r>
    </w:p>
    <w:p w14:paraId="14AAB49F">
      <w:pPr>
        <w:pStyle w:val="8"/>
        <w:widowControl/>
        <w:spacing w:beforeAutospacing="0" w:afterAutospacing="0" w:line="560" w:lineRule="exact"/>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10.3.2 电动自行车输入电压220V（允许偏差±15%），最大单路输出电流3A，额定功率660W。充电控制器输出总回路2~20路。</w:t>
      </w:r>
    </w:p>
    <w:p w14:paraId="2D925D97">
      <w:pPr>
        <w:pStyle w:val="8"/>
        <w:widowControl/>
        <w:spacing w:beforeAutospacing="0" w:afterAutospacing="0" w:line="560" w:lineRule="exact"/>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10.3.3 充电设施应具备如下保护功能：</w:t>
      </w:r>
    </w:p>
    <w:p w14:paraId="07F76EC1">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 短路保护。任意输出支路短路立即切断输出，短路解除 3s 后端口电压≤25V；单路独立保护，互不影响其他回路。</w:t>
      </w:r>
    </w:p>
    <w:p w14:paraId="0D46873E">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2 过流保护。当输出回路电流超过单路端口最大输出电流1.1倍时，3s 内切断输出，空载电压≤25V。</w:t>
      </w:r>
    </w:p>
    <w:p w14:paraId="63B90153">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3 输入过压保护。输入电压升至额定 1.2 倍，立刻停机保护；电压恢复正常应能自动或通过人工干预恢复正常。</w:t>
      </w:r>
    </w:p>
    <w:p w14:paraId="0916781F">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4 空载保护。移除充电桩的负载,在30s内充电桩应自动切断输出电源，端口电压≤25V，杜绝插座长期带电触电风险。</w:t>
      </w:r>
    </w:p>
    <w:p w14:paraId="65ADC525">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5 充满自动断开保护。交流充电桩：电池充满后≤1h 断电，端口电压应不大于25V(有效值)。</w:t>
      </w:r>
    </w:p>
    <w:p w14:paraId="2F51ED96">
      <w:pPr>
        <w:pStyle w:val="8"/>
        <w:widowControl/>
        <w:spacing w:beforeAutospacing="0" w:afterAutospacing="0" w:line="560" w:lineRule="exact"/>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直流充电桩：充满后≤10min 断电，桩输出端口电压应不大于直流25V。</w:t>
      </w:r>
    </w:p>
    <w:p w14:paraId="301E6273">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6 最长充电超时保护。单回路单次充电≤10h 强制断电，防止老化电池长时间充电起火。</w:t>
      </w:r>
    </w:p>
    <w:p w14:paraId="764E45B8">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7超温保护。当工作环境温度达到70 ℃±2 ℃后,充电桩应启动保护,自动切断其输出电源。</w:t>
      </w:r>
    </w:p>
    <w:p w14:paraId="3EEE26B9">
      <w:pPr>
        <w:pStyle w:val="8"/>
        <w:widowControl/>
        <w:spacing w:beforeAutospacing="0" w:afterAutospacing="0" w:line="560" w:lineRule="exact"/>
        <w:jc w:val="both"/>
        <w:rPr>
          <w:rFonts w:hint="default"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10.3.4 电动自行车库应采用防火墙和耐火极限不低于 2.00 h 的楼板与建筑物其他区域分隔，防火墙上确有需要设置开口时，防火分区之间应采用防火墙分隔，防火墙上确需开设门、窗、洞口时，应设置火灾时能自动关闭的甲级防火门、窗，不应采用防火卷帘或防火分隔水幕等措施替代。</w:t>
      </w:r>
    </w:p>
    <w:p w14:paraId="6497D381">
      <w:pPr>
        <w:pStyle w:val="8"/>
        <w:widowControl/>
        <w:spacing w:beforeAutospacing="0" w:afterAutospacing="0" w:line="560" w:lineRule="exact"/>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10.3.5 电动自行车库的外墙开口与上、下层门、窗洞口之间应设置高度不低于 1.2 m 的不燃烧体实体墙，确有困难时，其上方应设置耐火极限不低于 1.00 h、宽度不小于 1.0 m、长度不小于开口宽度的不燃烧体防火挑檐。</w:t>
      </w:r>
    </w:p>
    <w:p w14:paraId="5BA263F1">
      <w:pPr>
        <w:pStyle w:val="8"/>
        <w:widowControl/>
        <w:spacing w:beforeAutospacing="0" w:afterAutospacing="0" w:line="560" w:lineRule="exact"/>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10.3.6 集中布置的电动自行车充电设施，宜配置有序充电系统。对于少于 10 台的零散充电点位，可不设置有序充电系统。有序充电系统应由充电管理平台、充电控制器、通信网络组成。</w:t>
      </w:r>
    </w:p>
    <w:p w14:paraId="318C5760">
      <w:pPr>
        <w:pStyle w:val="8"/>
        <w:widowControl/>
        <w:spacing w:beforeAutospacing="0" w:afterAutospacing="0" w:line="560" w:lineRule="exact"/>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10.3.7 充电管理平台功能应符合下列规定：</w:t>
      </w:r>
    </w:p>
    <w:p w14:paraId="2520473E">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 应能接收电网负荷调控指令，制定有序充电策略并下发至充电设备；</w:t>
      </w:r>
    </w:p>
    <w:p w14:paraId="425C58C3">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2 应具备远程启停充电、安全预警、峰谷计量计费功能；</w:t>
      </w:r>
    </w:p>
    <w:p w14:paraId="7FCB07F4">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3 可根据台区负荷裕度动态调整各充电回路输出功率；</w:t>
      </w:r>
    </w:p>
    <w:p w14:paraId="607BA20D">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 xml:space="preserve">4 具备充电数据存储、历史负荷曲线查询功能，数据保存期限不应少于 2 年。 </w:t>
      </w:r>
    </w:p>
    <w:p w14:paraId="7417BB76">
      <w:pPr>
        <w:pStyle w:val="8"/>
        <w:widowControl/>
        <w:spacing w:beforeAutospacing="0" w:afterAutospacing="0" w:line="560" w:lineRule="exact"/>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10.3.8 充电控制器应具备下述执行能力：</w:t>
      </w:r>
    </w:p>
    <w:p w14:paraId="1B1928AD">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 支持接收平台下发的延时启动、功率限制、暂停充电等调度指令；</w:t>
      </w:r>
    </w:p>
    <w:p w14:paraId="422CC6B8">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2 具备独立回路电能计量、过流、过温、漏电保护功能；</w:t>
      </w:r>
    </w:p>
    <w:p w14:paraId="15DB4A28">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3 实时上传充电状态、故障告警信息至管理平台。</w:t>
      </w:r>
    </w:p>
    <w:p w14:paraId="276E6DB4">
      <w:pPr>
        <w:pStyle w:val="8"/>
        <w:widowControl/>
        <w:spacing w:beforeAutospacing="0" w:afterAutospacing="0" w:line="560" w:lineRule="exact"/>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10.3.9 有序充电策略可包含以下模式：</w:t>
      </w:r>
    </w:p>
    <w:p w14:paraId="7B075F86">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1 时段错峰模式：在电网高峰时段限制或暂停新增充电接入；</w:t>
      </w:r>
    </w:p>
    <w:p w14:paraId="7A628E63">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2 功率均衡模式：依据配电容量上限，动态分配各路充电功率；</w:t>
      </w:r>
    </w:p>
    <w:p w14:paraId="18CA8DE7">
      <w:pPr>
        <w:pStyle w:val="8"/>
        <w:widowControl/>
        <w:spacing w:beforeAutospacing="0" w:afterAutospacing="0" w:line="560" w:lineRule="exact"/>
        <w:ind w:firstLine="664" w:firstLineChars="200"/>
        <w:jc w:val="both"/>
        <w:rPr>
          <w:rFonts w:hint="eastAsia" w:ascii="宋体" w:hAnsi="宋体" w:eastAsia="宋体" w:cs="宋体"/>
          <w:spacing w:val="6"/>
          <w:kern w:val="2"/>
          <w:sz w:val="32"/>
          <w:szCs w:val="32"/>
          <w:lang w:val="en-US" w:eastAsia="zh-CN" w:bidi="ar"/>
        </w:rPr>
      </w:pPr>
      <w:r>
        <w:rPr>
          <w:rFonts w:hint="eastAsia" w:ascii="宋体" w:hAnsi="宋体" w:eastAsia="宋体" w:cs="宋体"/>
          <w:spacing w:val="6"/>
          <w:kern w:val="2"/>
          <w:sz w:val="32"/>
          <w:szCs w:val="32"/>
          <w:lang w:val="en-US" w:eastAsia="zh-CN" w:bidi="ar"/>
        </w:rPr>
        <w:t>3 需求响应模式：响应电网调度下发的临时限负荷指令。</w:t>
      </w:r>
    </w:p>
    <w:p w14:paraId="16514574">
      <w:pPr>
        <w:pStyle w:val="8"/>
        <w:widowControl/>
        <w:spacing w:beforeAutospacing="0" w:afterAutospacing="0" w:line="560" w:lineRule="exact"/>
        <w:jc w:val="both"/>
        <w:rPr>
          <w:rFonts w:hint="default" w:ascii="仿宋" w:hAnsi="仿宋" w:eastAsia="仿宋" w:cs="仿宋"/>
          <w:spacing w:val="6"/>
          <w:kern w:val="2"/>
          <w:sz w:val="32"/>
          <w:szCs w:val="32"/>
          <w:highlight w:val="none"/>
          <w:u w:val="single"/>
          <w:lang w:val="en-US" w:eastAsia="zh-CN" w:bidi="ar"/>
          <w:woUserID w:val="1"/>
        </w:rPr>
      </w:pPr>
    </w:p>
    <w:p w14:paraId="225EBECF">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val="en-US" w:eastAsia="zh-CN" w:bidi="ar"/>
        </w:rPr>
      </w:pPr>
      <w:r>
        <w:rPr>
          <w:rFonts w:hint="eastAsia" w:ascii="宋体" w:hAnsi="宋体" w:eastAsia="宋体" w:cs="宋体"/>
          <w:b/>
          <w:bCs/>
          <w:color w:val="000000"/>
          <w:spacing w:val="-6"/>
          <w:kern w:val="0"/>
          <w:sz w:val="32"/>
          <w:szCs w:val="32"/>
          <w:lang w:bidi="ar"/>
        </w:rPr>
        <w:t>1</w:t>
      </w:r>
      <w:r>
        <w:rPr>
          <w:rFonts w:hint="eastAsia" w:ascii="宋体" w:hAnsi="宋体" w:eastAsia="宋体" w:cs="宋体"/>
          <w:b/>
          <w:bCs/>
          <w:color w:val="000000"/>
          <w:spacing w:val="-6"/>
          <w:kern w:val="0"/>
          <w:sz w:val="32"/>
          <w:szCs w:val="32"/>
          <w:lang w:val="en-US" w:eastAsia="zh-CN" w:bidi="ar"/>
        </w:rPr>
        <w:t>0</w:t>
      </w:r>
      <w:r>
        <w:rPr>
          <w:rFonts w:hint="eastAsia" w:ascii="宋体" w:hAnsi="宋体" w:eastAsia="宋体" w:cs="宋体"/>
          <w:b/>
          <w:bCs/>
          <w:color w:val="000000"/>
          <w:spacing w:val="-6"/>
          <w:kern w:val="0"/>
          <w:sz w:val="32"/>
          <w:szCs w:val="32"/>
          <w:lang w:bidi="ar"/>
        </w:rPr>
        <w:t>.</w:t>
      </w:r>
      <w:r>
        <w:rPr>
          <w:rFonts w:hint="eastAsia" w:ascii="宋体" w:hAnsi="宋体" w:eastAsia="宋体" w:cs="宋体"/>
          <w:b/>
          <w:bCs/>
          <w:color w:val="000000"/>
          <w:spacing w:val="-6"/>
          <w:kern w:val="0"/>
          <w:sz w:val="32"/>
          <w:szCs w:val="32"/>
          <w:lang w:val="en-US" w:eastAsia="zh-CN" w:bidi="ar"/>
        </w:rPr>
        <w:t>4</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val="en-US" w:eastAsia="zh-CN" w:bidi="ar"/>
        </w:rPr>
        <w:t>微电网</w:t>
      </w:r>
    </w:p>
    <w:p w14:paraId="7F5558BC">
      <w:pPr>
        <w:widowControl/>
        <w:spacing w:line="560" w:lineRule="exact"/>
        <w:jc w:val="left"/>
        <w:rPr>
          <w:rFonts w:hint="eastAsia" w:ascii="宋体" w:hAnsi="宋体" w:eastAsia="宋体" w:cs="宋体"/>
          <w:spacing w:val="6"/>
          <w:sz w:val="32"/>
          <w:szCs w:val="32"/>
          <w:lang w:val="en-US" w:eastAsia="zh-CN" w:bidi="ar"/>
        </w:rPr>
      </w:pPr>
      <w:r>
        <w:rPr>
          <w:rFonts w:hint="eastAsia" w:ascii="宋体" w:hAnsi="宋体" w:eastAsia="宋体" w:cs="宋体"/>
          <w:spacing w:val="6"/>
          <w:sz w:val="32"/>
          <w:szCs w:val="32"/>
          <w:lang w:val="en-US" w:eastAsia="zh-CN" w:bidi="ar"/>
        </w:rPr>
        <w:t>10.4.1 住宅微电网设计应合理配置电源、负荷、储能的容量，强化自主调峰和自我平衡能力，实现源网荷储一体化，最大限度就地消纳分布式能源，满足建筑在新型电力系统下的用电需求。</w:t>
      </w:r>
    </w:p>
    <w:p w14:paraId="539A5294">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10.</w:t>
      </w:r>
      <w:r>
        <w:rPr>
          <w:rFonts w:hint="eastAsia" w:ascii="宋体" w:hAnsi="宋体" w:eastAsia="宋体" w:cs="宋体"/>
          <w:spacing w:val="6"/>
          <w:sz w:val="32"/>
          <w:szCs w:val="32"/>
          <w:lang w:val="en-US" w:eastAsia="zh-CN" w:bidi="ar"/>
          <w:woUserID w:val="1"/>
        </w:rPr>
        <w:t>4</w:t>
      </w:r>
      <w:r>
        <w:rPr>
          <w:rFonts w:hint="eastAsia" w:ascii="宋体" w:hAnsi="宋体" w:eastAsia="宋体" w:cs="宋体"/>
          <w:spacing w:val="6"/>
          <w:sz w:val="32"/>
          <w:szCs w:val="32"/>
          <w:lang w:val="en-US" w:eastAsia="zh" w:bidi="ar"/>
          <w:woUserID w:val="1"/>
        </w:rPr>
        <w:t>.2 并网型微电网宜用于住宅</w:t>
      </w:r>
      <w:r>
        <w:rPr>
          <w:rFonts w:hint="eastAsia" w:ascii="宋体" w:hAnsi="宋体" w:eastAsia="宋体" w:cs="宋体"/>
          <w:spacing w:val="6"/>
          <w:sz w:val="32"/>
          <w:szCs w:val="32"/>
          <w:lang w:val="en-US" w:eastAsia="zh-CN" w:bidi="ar"/>
          <w:woUserID w:val="1"/>
        </w:rPr>
        <w:t>建筑</w:t>
      </w:r>
      <w:r>
        <w:rPr>
          <w:rFonts w:hint="eastAsia" w:ascii="宋体" w:hAnsi="宋体" w:eastAsia="宋体" w:cs="宋体"/>
          <w:spacing w:val="6"/>
          <w:sz w:val="32"/>
          <w:szCs w:val="32"/>
          <w:lang w:val="en-US" w:eastAsia="zh" w:bidi="ar"/>
          <w:woUserID w:val="1"/>
        </w:rPr>
        <w:t>与现有电网互联的场景。</w:t>
      </w:r>
    </w:p>
    <w:p w14:paraId="619985D1">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10.</w:t>
      </w:r>
      <w:r>
        <w:rPr>
          <w:rFonts w:hint="eastAsia" w:ascii="宋体" w:hAnsi="宋体" w:eastAsia="宋体" w:cs="宋体"/>
          <w:spacing w:val="6"/>
          <w:sz w:val="32"/>
          <w:szCs w:val="32"/>
          <w:lang w:val="en-US" w:eastAsia="zh-CN" w:bidi="ar"/>
          <w:woUserID w:val="1"/>
        </w:rPr>
        <w:t>4</w:t>
      </w:r>
      <w:r>
        <w:rPr>
          <w:rFonts w:hint="eastAsia" w:ascii="宋体" w:hAnsi="宋体" w:eastAsia="宋体" w:cs="宋体"/>
          <w:spacing w:val="6"/>
          <w:sz w:val="32"/>
          <w:szCs w:val="32"/>
          <w:lang w:val="en-US" w:eastAsia="zh" w:bidi="ar"/>
          <w:woUserID w:val="1"/>
        </w:rPr>
        <w:t>.3 微电网工程区域内的分布式电源、配电线路和配电站室等设计应符合国家现行标准《光伏发电站设计规范》GB50797、《风力发电场设计技术规范》DL/T5383、《电化学储能电站设计规范》GB51048、《供配电系统设计规范》GB50052、《20kV及以下变电所设计规范》GB50053、《低压配电设计规范》GB50054、《35kV~110kV变电站设计规范》GB50059、《燃气冷热电三联供工程技术规程》CJJ145、《燃气-蒸汽联合循环电厂设计规定》DL/T5174 和《轻型燃气轮机通用技术要求》GB/T10489的规定。</w:t>
      </w:r>
    </w:p>
    <w:p w14:paraId="6D51AD96">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val="en-US" w:eastAsia="zh-CN" w:bidi="ar"/>
        </w:rPr>
      </w:pPr>
      <w:bookmarkStart w:id="12" w:name="_GoBack"/>
      <w:bookmarkEnd w:id="12"/>
      <w:r>
        <w:rPr>
          <w:rFonts w:hint="eastAsia" w:ascii="宋体" w:hAnsi="宋体" w:eastAsia="宋体" w:cs="宋体"/>
          <w:b/>
          <w:bCs/>
          <w:color w:val="000000"/>
          <w:spacing w:val="-6"/>
          <w:kern w:val="0"/>
          <w:sz w:val="32"/>
          <w:szCs w:val="32"/>
          <w:lang w:bidi="ar"/>
        </w:rPr>
        <w:t>1</w:t>
      </w:r>
      <w:r>
        <w:rPr>
          <w:rFonts w:hint="eastAsia" w:ascii="宋体" w:hAnsi="宋体" w:eastAsia="宋体" w:cs="宋体"/>
          <w:b/>
          <w:bCs/>
          <w:color w:val="000000"/>
          <w:spacing w:val="-6"/>
          <w:kern w:val="0"/>
          <w:sz w:val="32"/>
          <w:szCs w:val="32"/>
          <w:lang w:val="en-US" w:eastAsia="zh-CN" w:bidi="ar"/>
        </w:rPr>
        <w:t>0</w:t>
      </w:r>
      <w:r>
        <w:rPr>
          <w:rFonts w:hint="eastAsia" w:ascii="宋体" w:hAnsi="宋体" w:eastAsia="宋体" w:cs="宋体"/>
          <w:b/>
          <w:bCs/>
          <w:color w:val="000000"/>
          <w:spacing w:val="-6"/>
          <w:kern w:val="0"/>
          <w:sz w:val="32"/>
          <w:szCs w:val="32"/>
          <w:lang w:bidi="ar"/>
        </w:rPr>
        <w:t>.</w:t>
      </w:r>
      <w:r>
        <w:rPr>
          <w:rFonts w:hint="eastAsia" w:ascii="宋体" w:hAnsi="宋体" w:eastAsia="宋体" w:cs="宋体"/>
          <w:b/>
          <w:bCs/>
          <w:color w:val="000000"/>
          <w:spacing w:val="-6"/>
          <w:kern w:val="0"/>
          <w:sz w:val="32"/>
          <w:szCs w:val="32"/>
          <w:lang w:val="en-US" w:eastAsia="zh-CN" w:bidi="ar"/>
        </w:rPr>
        <w:t>5</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val="en-US" w:eastAsia="zh-CN" w:bidi="ar"/>
        </w:rPr>
        <w:t>分布式电源</w:t>
      </w:r>
    </w:p>
    <w:p w14:paraId="0E967341">
      <w:pPr>
        <w:pStyle w:val="8"/>
        <w:spacing w:beforeAutospacing="0" w:afterAutospacing="0" w:line="560" w:lineRule="exact"/>
        <w:ind w:right="92"/>
        <w:jc w:val="both"/>
        <w:rPr>
          <w:rFonts w:hint="eastAsia" w:ascii="宋体" w:hAnsi="宋体" w:eastAsia="宋体" w:cs="宋体"/>
          <w:sz w:val="32"/>
          <w:szCs w:val="32"/>
          <w:lang w:bidi="ar"/>
          <w:woUserID w:val="1"/>
        </w:rPr>
      </w:pPr>
      <w:r>
        <w:rPr>
          <w:rFonts w:hint="eastAsia" w:ascii="宋体" w:hAnsi="宋体" w:eastAsia="宋体" w:cs="宋体"/>
          <w:sz w:val="32"/>
          <w:szCs w:val="32"/>
          <w:lang w:bidi="ar"/>
          <w:woUserID w:val="1"/>
        </w:rPr>
        <w:t>1</w:t>
      </w:r>
      <w:r>
        <w:rPr>
          <w:rFonts w:hint="eastAsia" w:ascii="宋体" w:hAnsi="宋体" w:eastAsia="宋体" w:cs="宋体"/>
          <w:sz w:val="32"/>
          <w:szCs w:val="32"/>
          <w:lang w:eastAsia="zh" w:bidi="ar"/>
          <w:woUserID w:val="1"/>
        </w:rPr>
        <w:t>0</w:t>
      </w:r>
      <w:r>
        <w:rPr>
          <w:rFonts w:hint="eastAsia" w:ascii="宋体" w:hAnsi="宋体" w:eastAsia="宋体" w:cs="宋体"/>
          <w:sz w:val="32"/>
          <w:szCs w:val="32"/>
          <w:lang w:bidi="ar"/>
          <w:woUserID w:val="1"/>
        </w:rPr>
        <w:t>.</w:t>
      </w:r>
      <w:r>
        <w:rPr>
          <w:rFonts w:hint="eastAsia" w:ascii="宋体" w:hAnsi="宋体" w:eastAsia="宋体" w:cs="宋体"/>
          <w:sz w:val="32"/>
          <w:szCs w:val="32"/>
          <w:lang w:val="en-US" w:eastAsia="zh-CN" w:bidi="ar"/>
          <w:woUserID w:val="1"/>
        </w:rPr>
        <w:t>5</w:t>
      </w:r>
      <w:r>
        <w:rPr>
          <w:rFonts w:hint="eastAsia" w:ascii="宋体" w:hAnsi="宋体" w:eastAsia="宋体" w:cs="宋体"/>
          <w:sz w:val="32"/>
          <w:szCs w:val="32"/>
          <w:lang w:bidi="ar"/>
          <w:woUserID w:val="1"/>
        </w:rPr>
        <w:t>.1</w:t>
      </w:r>
      <w:r>
        <w:rPr>
          <w:rFonts w:hint="eastAsia" w:ascii="宋体" w:hAnsi="宋体" w:eastAsia="宋体" w:cs="宋体"/>
          <w:sz w:val="32"/>
          <w:szCs w:val="32"/>
          <w:lang w:eastAsia="zh" w:bidi="ar"/>
          <w:woUserID w:val="1"/>
        </w:rPr>
        <w:t xml:space="preserve"> </w:t>
      </w:r>
      <w:r>
        <w:rPr>
          <w:rFonts w:hint="eastAsia" w:ascii="宋体" w:hAnsi="宋体" w:eastAsia="宋体" w:cs="宋体"/>
          <w:sz w:val="32"/>
          <w:szCs w:val="32"/>
          <w:lang w:bidi="ar"/>
          <w:woUserID w:val="1"/>
        </w:rPr>
        <w:t>分布式电源设计要求应满足《光伏发电系统接入配电网技术规定》GB/T29319、《分布式光伏发电系统集中运维技术规范》GB/T38946及《分布式电源并网技术要求》GB/T33593的规定要求。</w:t>
      </w:r>
    </w:p>
    <w:p w14:paraId="543B53BE">
      <w:pPr>
        <w:pStyle w:val="8"/>
        <w:spacing w:beforeAutospacing="0" w:afterAutospacing="0" w:line="560" w:lineRule="exact"/>
        <w:ind w:right="92"/>
        <w:jc w:val="both"/>
        <w:rPr>
          <w:rFonts w:hint="eastAsia" w:ascii="宋体" w:hAnsi="宋体" w:eastAsia="宋体" w:cs="宋体"/>
          <w:sz w:val="32"/>
          <w:szCs w:val="32"/>
          <w:lang w:bidi="ar"/>
          <w:woUserID w:val="1"/>
        </w:rPr>
      </w:pPr>
      <w:r>
        <w:rPr>
          <w:rFonts w:hint="eastAsia" w:ascii="宋体" w:hAnsi="宋体" w:eastAsia="宋体" w:cs="宋体"/>
          <w:sz w:val="32"/>
          <w:szCs w:val="32"/>
          <w:lang w:bidi="ar"/>
          <w:woUserID w:val="1"/>
        </w:rPr>
        <w:t>1</w:t>
      </w:r>
      <w:r>
        <w:rPr>
          <w:rFonts w:hint="eastAsia" w:ascii="宋体" w:hAnsi="宋体" w:eastAsia="宋体" w:cs="宋体"/>
          <w:sz w:val="32"/>
          <w:szCs w:val="32"/>
          <w:lang w:eastAsia="zh" w:bidi="ar"/>
          <w:woUserID w:val="1"/>
        </w:rPr>
        <w:t>0</w:t>
      </w:r>
      <w:r>
        <w:rPr>
          <w:rFonts w:hint="eastAsia" w:ascii="宋体" w:hAnsi="宋体" w:eastAsia="宋体" w:cs="宋体"/>
          <w:sz w:val="32"/>
          <w:szCs w:val="32"/>
          <w:lang w:bidi="ar"/>
          <w:woUserID w:val="1"/>
        </w:rPr>
        <w:t>.</w:t>
      </w:r>
      <w:r>
        <w:rPr>
          <w:rFonts w:hint="eastAsia" w:ascii="宋体" w:hAnsi="宋体" w:eastAsia="宋体" w:cs="宋体"/>
          <w:sz w:val="32"/>
          <w:szCs w:val="32"/>
          <w:lang w:val="en-US" w:eastAsia="zh-CN" w:bidi="ar"/>
          <w:woUserID w:val="1"/>
        </w:rPr>
        <w:t>5</w:t>
      </w:r>
      <w:r>
        <w:rPr>
          <w:rFonts w:hint="eastAsia" w:ascii="宋体" w:hAnsi="宋体" w:eastAsia="宋体" w:cs="宋体"/>
          <w:sz w:val="32"/>
          <w:szCs w:val="32"/>
          <w:lang w:bidi="ar"/>
          <w:woUserID w:val="1"/>
        </w:rPr>
        <w:t>.</w:t>
      </w:r>
      <w:r>
        <w:rPr>
          <w:rFonts w:hint="eastAsia" w:ascii="宋体" w:hAnsi="宋体" w:eastAsia="宋体" w:cs="宋体"/>
          <w:sz w:val="32"/>
          <w:szCs w:val="32"/>
          <w:lang w:eastAsia="zh" w:bidi="ar"/>
          <w:woUserID w:val="1"/>
        </w:rPr>
        <w:t>2</w:t>
      </w:r>
      <w:r>
        <w:rPr>
          <w:rFonts w:hint="eastAsia" w:ascii="宋体" w:hAnsi="宋体" w:eastAsia="宋体" w:cs="宋体"/>
          <w:sz w:val="32"/>
          <w:szCs w:val="32"/>
          <w:lang w:bidi="ar"/>
          <w:woUserID w:val="1"/>
        </w:rPr>
        <w:t xml:space="preserve"> 住宅</w:t>
      </w:r>
      <w:r>
        <w:rPr>
          <w:rFonts w:hint="eastAsia" w:ascii="宋体" w:hAnsi="宋体" w:eastAsia="宋体" w:cs="宋体"/>
          <w:sz w:val="32"/>
          <w:szCs w:val="32"/>
          <w:lang w:eastAsia="zh" w:bidi="ar"/>
          <w:woUserID w:val="1"/>
        </w:rPr>
        <w:t>建筑</w:t>
      </w:r>
      <w:r>
        <w:rPr>
          <w:rFonts w:hint="eastAsia" w:ascii="宋体" w:hAnsi="宋体" w:eastAsia="宋体" w:cs="宋体"/>
          <w:sz w:val="32"/>
          <w:szCs w:val="32"/>
          <w:lang w:bidi="ar"/>
          <w:woUserID w:val="1"/>
        </w:rPr>
        <w:t>新建的380V及以下电压等级的分布式电源符合以下原则建设:</w:t>
      </w:r>
    </w:p>
    <w:p w14:paraId="6B60666A">
      <w:pPr>
        <w:pStyle w:val="8"/>
        <w:spacing w:beforeAutospacing="0" w:afterAutospacing="0" w:line="560" w:lineRule="exact"/>
        <w:ind w:right="92" w:firstLine="640" w:firstLineChars="200"/>
        <w:jc w:val="both"/>
        <w:rPr>
          <w:rFonts w:hint="eastAsia" w:ascii="宋体" w:hAnsi="宋体" w:eastAsia="宋体" w:cs="宋体"/>
          <w:sz w:val="32"/>
          <w:szCs w:val="32"/>
          <w:lang w:bidi="ar"/>
          <w:woUserID w:val="1"/>
        </w:rPr>
      </w:pPr>
      <w:r>
        <w:rPr>
          <w:rFonts w:hint="eastAsia" w:ascii="宋体" w:hAnsi="宋体" w:eastAsia="宋体" w:cs="宋体"/>
          <w:sz w:val="32"/>
          <w:szCs w:val="32"/>
          <w:lang w:bidi="ar"/>
          <w:woUserID w:val="1"/>
        </w:rPr>
        <w:t>1</w:t>
      </w:r>
      <w:r>
        <w:rPr>
          <w:rFonts w:hint="eastAsia" w:ascii="宋体" w:hAnsi="宋体" w:eastAsia="宋体" w:cs="宋体"/>
          <w:sz w:val="32"/>
          <w:szCs w:val="32"/>
          <w:lang w:eastAsia="zh" w:bidi="ar"/>
          <w:woUserID w:val="1"/>
        </w:rPr>
        <w:t xml:space="preserve"> </w:t>
      </w:r>
      <w:r>
        <w:rPr>
          <w:rFonts w:hint="eastAsia" w:ascii="宋体" w:hAnsi="宋体" w:eastAsia="宋体" w:cs="宋体"/>
          <w:sz w:val="32"/>
          <w:szCs w:val="32"/>
          <w:lang w:bidi="ar"/>
          <w:woUserID w:val="1"/>
        </w:rPr>
        <w:t>当分布式电源容量在8kW及以下可通过220 V单相接入公用低压配电网。并网前供电企业应组织并网验收，并应校核接入各相的总容量，不宜出现三相功率不平衡情况;</w:t>
      </w:r>
    </w:p>
    <w:p w14:paraId="37C99CDE">
      <w:pPr>
        <w:pStyle w:val="8"/>
        <w:spacing w:beforeAutospacing="0" w:afterAutospacing="0" w:line="560" w:lineRule="exact"/>
        <w:ind w:right="92" w:firstLine="640" w:firstLineChars="200"/>
        <w:jc w:val="both"/>
        <w:rPr>
          <w:rFonts w:hint="eastAsia" w:ascii="宋体" w:hAnsi="宋体" w:eastAsia="宋体" w:cs="宋体"/>
          <w:sz w:val="32"/>
          <w:szCs w:val="32"/>
          <w:lang w:bidi="ar"/>
          <w:woUserID w:val="1"/>
        </w:rPr>
      </w:pPr>
      <w:r>
        <w:rPr>
          <w:rFonts w:hint="eastAsia" w:ascii="宋体" w:hAnsi="宋体" w:eastAsia="宋体" w:cs="宋体"/>
          <w:sz w:val="32"/>
          <w:szCs w:val="32"/>
          <w:lang w:bidi="ar"/>
          <w:woUserID w:val="1"/>
        </w:rPr>
        <w:t>2 当分布式电源接入容量大于8kW，且不超过400kW时，宜采用380V电压等级并网;</w:t>
      </w:r>
    </w:p>
    <w:p w14:paraId="33CFD4EE">
      <w:pPr>
        <w:pStyle w:val="8"/>
        <w:spacing w:beforeAutospacing="0" w:afterAutospacing="0" w:line="560" w:lineRule="exact"/>
        <w:ind w:right="92" w:firstLine="640" w:firstLineChars="200"/>
        <w:jc w:val="both"/>
        <w:rPr>
          <w:rFonts w:hint="eastAsia" w:ascii="宋体" w:hAnsi="宋体" w:eastAsia="宋体" w:cs="宋体"/>
          <w:sz w:val="32"/>
          <w:szCs w:val="32"/>
          <w:lang w:bidi="ar"/>
          <w:woUserID w:val="1"/>
        </w:rPr>
      </w:pPr>
      <w:r>
        <w:rPr>
          <w:rFonts w:hint="eastAsia" w:ascii="宋体" w:hAnsi="宋体" w:eastAsia="宋体" w:cs="宋体"/>
          <w:sz w:val="32"/>
          <w:szCs w:val="32"/>
          <w:lang w:bidi="ar"/>
          <w:woUserID w:val="1"/>
        </w:rPr>
        <w:t>3</w:t>
      </w:r>
      <w:r>
        <w:rPr>
          <w:rFonts w:hint="eastAsia" w:ascii="宋体" w:hAnsi="宋体" w:eastAsia="宋体" w:cs="宋体"/>
          <w:sz w:val="32"/>
          <w:szCs w:val="32"/>
          <w:lang w:eastAsia="zh" w:bidi="ar"/>
          <w:woUserID w:val="1"/>
        </w:rPr>
        <w:t xml:space="preserve"> </w:t>
      </w:r>
      <w:r>
        <w:rPr>
          <w:rFonts w:hint="eastAsia" w:ascii="宋体" w:hAnsi="宋体" w:eastAsia="宋体" w:cs="宋体"/>
          <w:sz w:val="32"/>
          <w:szCs w:val="32"/>
          <w:lang w:bidi="ar"/>
          <w:woUserID w:val="1"/>
        </w:rPr>
        <w:t>当分布式电源仅为自发自用、就地消纳时，可选用微型或塑壳式断路器接入户内配电箱，应具备短路速断、分励脱扣、失压跳闸等功能，并应符合</w:t>
      </w:r>
      <w:r>
        <w:rPr>
          <w:rFonts w:hint="eastAsia" w:ascii="宋体" w:hAnsi="宋体" w:eastAsia="宋体" w:cs="宋体"/>
          <w:sz w:val="32"/>
          <w:szCs w:val="32"/>
          <w:lang w:eastAsia="zh" w:bidi="ar"/>
          <w:woUserID w:val="1"/>
        </w:rPr>
        <w:t>《低压开关设备和控制设备第2部分:断路器》</w:t>
      </w:r>
      <w:r>
        <w:rPr>
          <w:rFonts w:hint="eastAsia" w:ascii="宋体" w:hAnsi="宋体" w:eastAsia="宋体" w:cs="宋体"/>
          <w:sz w:val="32"/>
          <w:szCs w:val="32"/>
          <w:lang w:bidi="ar"/>
          <w:woUserID w:val="1"/>
        </w:rPr>
        <w:t>GB 14048.2 的相关要求；应按国家规定的要求和具备资质的第三方进行检测或鉴定，合格后方可使用。</w:t>
      </w:r>
    </w:p>
    <w:p w14:paraId="295AB745">
      <w:pPr>
        <w:pStyle w:val="8"/>
        <w:spacing w:beforeAutospacing="0" w:afterAutospacing="0" w:line="560" w:lineRule="exact"/>
        <w:ind w:right="92" w:firstLine="640" w:firstLineChars="200"/>
        <w:jc w:val="both"/>
        <w:rPr>
          <w:rFonts w:hint="eastAsia" w:ascii="宋体" w:hAnsi="宋体" w:eastAsia="宋体" w:cs="宋体"/>
          <w:sz w:val="32"/>
          <w:szCs w:val="32"/>
          <w:lang w:bidi="ar"/>
          <w:woUserID w:val="1"/>
        </w:rPr>
      </w:pPr>
      <w:r>
        <w:rPr>
          <w:rFonts w:hint="eastAsia" w:ascii="宋体" w:hAnsi="宋体" w:eastAsia="宋体" w:cs="宋体"/>
          <w:sz w:val="32"/>
          <w:szCs w:val="32"/>
          <w:lang w:bidi="ar"/>
          <w:woUserID w:val="1"/>
        </w:rPr>
        <w:t>4</w:t>
      </w:r>
      <w:r>
        <w:rPr>
          <w:rFonts w:hint="eastAsia" w:ascii="宋体" w:hAnsi="宋体" w:eastAsia="宋体" w:cs="宋体"/>
          <w:sz w:val="32"/>
          <w:szCs w:val="32"/>
          <w:lang w:eastAsia="zh" w:bidi="ar"/>
          <w:woUserID w:val="1"/>
        </w:rPr>
        <w:t xml:space="preserve"> </w:t>
      </w:r>
      <w:r>
        <w:rPr>
          <w:rFonts w:hint="eastAsia" w:ascii="宋体" w:hAnsi="宋体" w:eastAsia="宋体" w:cs="宋体"/>
          <w:sz w:val="32"/>
          <w:szCs w:val="32"/>
          <w:lang w:bidi="ar"/>
          <w:woUserID w:val="1"/>
        </w:rPr>
        <w:t>当分布式电源接入容量超过公用配电室、箱变、柱上变压器等额定容量25%时，该公用变压器低压侧应配置低压总开关，且在低压母线处装设反孤岛装置；低压总开关宜与反孤岛装置间具备操作闭锁功能，母线间有联络时，联络开关也宜与反孤岛装置间具备操作闭锁功能。</w:t>
      </w:r>
    </w:p>
    <w:p w14:paraId="56CC74CB">
      <w:pPr>
        <w:pStyle w:val="8"/>
        <w:spacing w:beforeAutospacing="0" w:afterAutospacing="0" w:line="560" w:lineRule="exact"/>
        <w:ind w:right="92"/>
        <w:jc w:val="both"/>
        <w:rPr>
          <w:rFonts w:hint="eastAsia" w:ascii="宋体" w:hAnsi="宋体" w:eastAsia="宋体" w:cs="宋体"/>
          <w:sz w:val="32"/>
          <w:szCs w:val="32"/>
          <w:lang w:bidi="ar"/>
          <w:woUserID w:val="1"/>
        </w:rPr>
      </w:pPr>
      <w:r>
        <w:rPr>
          <w:rFonts w:hint="eastAsia" w:ascii="宋体" w:hAnsi="宋体" w:eastAsia="宋体" w:cs="宋体"/>
          <w:sz w:val="32"/>
          <w:szCs w:val="32"/>
          <w:lang w:bidi="ar"/>
          <w:woUserID w:val="1"/>
        </w:rPr>
        <w:t>1</w:t>
      </w:r>
      <w:r>
        <w:rPr>
          <w:rFonts w:hint="eastAsia" w:ascii="宋体" w:hAnsi="宋体" w:eastAsia="宋体" w:cs="宋体"/>
          <w:sz w:val="32"/>
          <w:szCs w:val="32"/>
          <w:lang w:eastAsia="zh" w:bidi="ar"/>
          <w:woUserID w:val="1"/>
        </w:rPr>
        <w:t>0</w:t>
      </w:r>
      <w:r>
        <w:rPr>
          <w:rFonts w:hint="eastAsia" w:ascii="宋体" w:hAnsi="宋体" w:eastAsia="宋体" w:cs="宋体"/>
          <w:sz w:val="32"/>
          <w:szCs w:val="32"/>
          <w:lang w:bidi="ar"/>
          <w:woUserID w:val="1"/>
        </w:rPr>
        <w:t>.</w:t>
      </w:r>
      <w:r>
        <w:rPr>
          <w:rFonts w:hint="eastAsia" w:ascii="宋体" w:hAnsi="宋体" w:eastAsia="宋体" w:cs="宋体"/>
          <w:sz w:val="32"/>
          <w:szCs w:val="32"/>
          <w:lang w:val="en-US" w:eastAsia="zh-CN" w:bidi="ar"/>
          <w:woUserID w:val="1"/>
        </w:rPr>
        <w:t>5</w:t>
      </w:r>
      <w:r>
        <w:rPr>
          <w:rFonts w:hint="eastAsia" w:ascii="宋体" w:hAnsi="宋体" w:eastAsia="宋体" w:cs="宋体"/>
          <w:sz w:val="32"/>
          <w:szCs w:val="32"/>
          <w:lang w:bidi="ar"/>
          <w:woUserID w:val="1"/>
        </w:rPr>
        <w:t>.</w:t>
      </w:r>
      <w:r>
        <w:rPr>
          <w:rFonts w:hint="eastAsia" w:ascii="宋体" w:hAnsi="宋体" w:eastAsia="宋体" w:cs="宋体"/>
          <w:sz w:val="32"/>
          <w:szCs w:val="32"/>
          <w:lang w:eastAsia="zh" w:bidi="ar"/>
          <w:woUserID w:val="1"/>
        </w:rPr>
        <w:t>3</w:t>
      </w:r>
      <w:r>
        <w:rPr>
          <w:rFonts w:hint="eastAsia" w:ascii="宋体" w:hAnsi="宋体" w:eastAsia="宋体" w:cs="宋体"/>
          <w:sz w:val="32"/>
          <w:szCs w:val="32"/>
          <w:lang w:bidi="ar"/>
          <w:woUserID w:val="1"/>
        </w:rPr>
        <w:t xml:space="preserve"> 接入380V配电网低压母线的分布式电源，若向公用配电网输送电量，则应具备接受配电网调度指令进行输出有功功率控制的能力。</w:t>
      </w:r>
    </w:p>
    <w:p w14:paraId="5A77282A">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val="en-US" w:eastAsia="zh-CN" w:bidi="ar"/>
        </w:rPr>
      </w:pPr>
      <w:r>
        <w:rPr>
          <w:rFonts w:hint="eastAsia" w:ascii="宋体" w:hAnsi="宋体" w:eastAsia="宋体" w:cs="宋体"/>
          <w:b/>
          <w:bCs/>
          <w:color w:val="000000"/>
          <w:spacing w:val="-6"/>
          <w:kern w:val="0"/>
          <w:sz w:val="32"/>
          <w:szCs w:val="32"/>
          <w:lang w:bidi="ar"/>
        </w:rPr>
        <w:t>1</w:t>
      </w:r>
      <w:r>
        <w:rPr>
          <w:rFonts w:hint="eastAsia" w:ascii="宋体" w:hAnsi="宋体" w:eastAsia="宋体" w:cs="宋体"/>
          <w:b/>
          <w:bCs/>
          <w:color w:val="000000"/>
          <w:spacing w:val="-6"/>
          <w:kern w:val="0"/>
          <w:sz w:val="32"/>
          <w:szCs w:val="32"/>
          <w:lang w:val="en-US" w:eastAsia="zh-CN" w:bidi="ar"/>
        </w:rPr>
        <w:t>0</w:t>
      </w:r>
      <w:r>
        <w:rPr>
          <w:rFonts w:hint="eastAsia" w:ascii="宋体" w:hAnsi="宋体" w:eastAsia="宋体" w:cs="宋体"/>
          <w:b/>
          <w:bCs/>
          <w:color w:val="000000"/>
          <w:spacing w:val="-6"/>
          <w:kern w:val="0"/>
          <w:sz w:val="32"/>
          <w:szCs w:val="32"/>
          <w:lang w:bidi="ar"/>
        </w:rPr>
        <w:t>.</w:t>
      </w:r>
      <w:r>
        <w:rPr>
          <w:rFonts w:hint="eastAsia" w:ascii="宋体" w:hAnsi="宋体" w:eastAsia="宋体" w:cs="宋体"/>
          <w:b/>
          <w:bCs/>
          <w:color w:val="000000"/>
          <w:spacing w:val="-6"/>
          <w:kern w:val="0"/>
          <w:sz w:val="32"/>
          <w:szCs w:val="32"/>
          <w:lang w:val="en-US" w:eastAsia="zh-CN" w:bidi="ar"/>
          <w:woUserID w:val="1"/>
        </w:rPr>
        <w:t>6</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val="en-US" w:eastAsia="zh-CN" w:bidi="ar"/>
        </w:rPr>
        <w:t>电能质量与继电保护</w:t>
      </w:r>
    </w:p>
    <w:p w14:paraId="5F8D4483">
      <w:pPr>
        <w:pStyle w:val="8"/>
        <w:spacing w:beforeAutospacing="0" w:afterAutospacing="0" w:line="560" w:lineRule="exact"/>
        <w:ind w:right="92"/>
        <w:jc w:val="both"/>
        <w:rPr>
          <w:rFonts w:hint="eastAsia" w:ascii="宋体" w:hAnsi="宋体" w:eastAsia="宋体" w:cs="宋体"/>
          <w:sz w:val="32"/>
          <w:szCs w:val="32"/>
          <w:lang w:bidi="ar"/>
          <w:woUserID w:val="1"/>
        </w:rPr>
      </w:pPr>
      <w:r>
        <w:rPr>
          <w:rFonts w:hint="eastAsia" w:ascii="宋体" w:hAnsi="宋体" w:eastAsia="宋体" w:cs="宋体"/>
          <w:sz w:val="32"/>
          <w:szCs w:val="32"/>
          <w:lang w:bidi="ar"/>
          <w:woUserID w:val="1"/>
        </w:rPr>
        <w:t>1</w:t>
      </w:r>
      <w:r>
        <w:rPr>
          <w:rFonts w:hint="eastAsia" w:ascii="宋体" w:hAnsi="宋体" w:eastAsia="宋体" w:cs="宋体"/>
          <w:sz w:val="32"/>
          <w:szCs w:val="32"/>
          <w:lang w:eastAsia="zh" w:bidi="ar"/>
          <w:woUserID w:val="1"/>
        </w:rPr>
        <w:t>0</w:t>
      </w:r>
      <w:r>
        <w:rPr>
          <w:rFonts w:hint="eastAsia" w:ascii="宋体" w:hAnsi="宋体" w:eastAsia="宋体" w:cs="宋体"/>
          <w:sz w:val="32"/>
          <w:szCs w:val="32"/>
          <w:lang w:bidi="ar"/>
          <w:woUserID w:val="1"/>
        </w:rPr>
        <w:t>.</w:t>
      </w:r>
      <w:r>
        <w:rPr>
          <w:rFonts w:hint="eastAsia" w:ascii="宋体" w:hAnsi="宋体" w:eastAsia="宋体" w:cs="宋体"/>
          <w:sz w:val="32"/>
          <w:szCs w:val="32"/>
          <w:lang w:val="en-US" w:eastAsia="zh-CN" w:bidi="ar"/>
          <w:woUserID w:val="1"/>
        </w:rPr>
        <w:t>6</w:t>
      </w:r>
      <w:r>
        <w:rPr>
          <w:rFonts w:hint="eastAsia" w:ascii="宋体" w:hAnsi="宋体" w:eastAsia="宋体" w:cs="宋体"/>
          <w:sz w:val="32"/>
          <w:szCs w:val="32"/>
          <w:lang w:bidi="ar"/>
          <w:woUserID w:val="1"/>
        </w:rPr>
        <w:t>.</w:t>
      </w:r>
      <w:r>
        <w:rPr>
          <w:rFonts w:hint="eastAsia" w:ascii="宋体" w:hAnsi="宋体" w:eastAsia="宋体" w:cs="宋体"/>
          <w:sz w:val="32"/>
          <w:szCs w:val="32"/>
          <w:lang w:eastAsia="zh" w:bidi="ar"/>
          <w:woUserID w:val="1"/>
        </w:rPr>
        <w:t>1</w:t>
      </w:r>
      <w:r>
        <w:rPr>
          <w:rFonts w:hint="eastAsia" w:ascii="宋体" w:hAnsi="宋体" w:eastAsia="宋体" w:cs="宋体"/>
          <w:sz w:val="32"/>
          <w:szCs w:val="32"/>
          <w:lang w:bidi="ar"/>
          <w:woUserID w:val="1"/>
        </w:rPr>
        <w:t xml:space="preserve"> 分布式电源接入的电能质量要求。</w:t>
      </w:r>
    </w:p>
    <w:p w14:paraId="4B7F7CCB">
      <w:pPr>
        <w:pStyle w:val="8"/>
        <w:spacing w:beforeAutospacing="0" w:afterAutospacing="0" w:line="560" w:lineRule="exact"/>
        <w:ind w:right="92" w:firstLine="640" w:firstLineChars="200"/>
        <w:jc w:val="both"/>
        <w:rPr>
          <w:rFonts w:hint="eastAsia" w:ascii="宋体" w:hAnsi="宋体" w:eastAsia="宋体" w:cs="宋体"/>
          <w:spacing w:val="6"/>
          <w:kern w:val="2"/>
          <w:sz w:val="32"/>
          <w:szCs w:val="32"/>
          <w:highlight w:val="yellow"/>
          <w:lang w:eastAsia="zh" w:bidi="ar"/>
          <w:woUserID w:val="1"/>
        </w:rPr>
      </w:pPr>
      <w:r>
        <w:rPr>
          <w:rFonts w:hint="eastAsia" w:ascii="宋体" w:hAnsi="宋体" w:eastAsia="宋体" w:cs="宋体"/>
          <w:sz w:val="32"/>
          <w:szCs w:val="32"/>
          <w:lang w:eastAsia="zh" w:bidi="ar"/>
          <w:woUserID w:val="1"/>
        </w:rPr>
        <w:t xml:space="preserve">1 </w:t>
      </w:r>
      <w:r>
        <w:rPr>
          <w:rFonts w:hint="eastAsia" w:ascii="宋体" w:hAnsi="宋体" w:eastAsia="宋体" w:cs="宋体"/>
          <w:sz w:val="32"/>
          <w:szCs w:val="32"/>
          <w:lang w:bidi="ar"/>
          <w:woUserID w:val="1"/>
        </w:rPr>
        <w:t>分布式电源接入公共连接点的谐波注入电流应符合</w:t>
      </w:r>
      <w:r>
        <w:rPr>
          <w:rFonts w:hint="eastAsia" w:ascii="宋体" w:hAnsi="宋体" w:eastAsia="宋体" w:cs="宋体"/>
          <w:sz w:val="32"/>
          <w:szCs w:val="32"/>
          <w:lang w:eastAsia="zh" w:bidi="ar"/>
          <w:woUserID w:val="1"/>
        </w:rPr>
        <w:t>《电能质量公用电网谐波》</w:t>
      </w:r>
      <w:r>
        <w:rPr>
          <w:rFonts w:hint="eastAsia" w:ascii="宋体" w:hAnsi="宋体" w:eastAsia="宋体" w:cs="宋体"/>
          <w:sz w:val="32"/>
          <w:szCs w:val="32"/>
          <w:lang w:bidi="ar"/>
          <w:woUserID w:val="1"/>
        </w:rPr>
        <w:t xml:space="preserve"> GB/T14549中相关规定;</w:t>
      </w:r>
    </w:p>
    <w:p w14:paraId="17959596">
      <w:pPr>
        <w:pStyle w:val="8"/>
        <w:spacing w:beforeAutospacing="0" w:afterAutospacing="0" w:line="560" w:lineRule="exact"/>
        <w:ind w:right="92" w:firstLine="640" w:firstLineChars="200"/>
        <w:jc w:val="both"/>
        <w:rPr>
          <w:rFonts w:hint="eastAsia" w:ascii="宋体" w:hAnsi="宋体" w:eastAsia="宋体" w:cs="宋体"/>
          <w:sz w:val="32"/>
          <w:szCs w:val="32"/>
          <w:lang w:eastAsia="zh" w:bidi="ar"/>
          <w:woUserID w:val="1"/>
        </w:rPr>
      </w:pPr>
      <w:r>
        <w:rPr>
          <w:rFonts w:hint="eastAsia" w:ascii="宋体" w:hAnsi="宋体" w:eastAsia="宋体" w:cs="宋体"/>
          <w:sz w:val="32"/>
          <w:szCs w:val="32"/>
          <w:lang w:eastAsia="zh" w:bidi="ar"/>
          <w:woUserID w:val="1"/>
        </w:rPr>
        <w:t xml:space="preserve">2 </w:t>
      </w:r>
      <w:r>
        <w:rPr>
          <w:rFonts w:hint="eastAsia" w:ascii="宋体" w:hAnsi="宋体" w:eastAsia="宋体" w:cs="宋体"/>
          <w:sz w:val="32"/>
          <w:szCs w:val="32"/>
          <w:lang w:bidi="ar"/>
          <w:woUserID w:val="1"/>
        </w:rPr>
        <w:t>分布式电源接入后，所接入公共连接点的电压偏差应符合</w:t>
      </w:r>
      <w:r>
        <w:rPr>
          <w:rFonts w:hint="eastAsia" w:ascii="宋体" w:hAnsi="宋体" w:eastAsia="宋体" w:cs="宋体"/>
          <w:sz w:val="32"/>
          <w:szCs w:val="32"/>
          <w:lang w:eastAsia="zh" w:bidi="ar"/>
          <w:woUserID w:val="1"/>
        </w:rPr>
        <w:t>《电能质量供电电压偏压》</w:t>
      </w:r>
      <w:r>
        <w:rPr>
          <w:rFonts w:hint="eastAsia" w:ascii="宋体" w:hAnsi="宋体" w:eastAsia="宋体" w:cs="宋体"/>
          <w:sz w:val="32"/>
          <w:szCs w:val="32"/>
          <w:lang w:bidi="ar"/>
          <w:woUserID w:val="1"/>
        </w:rPr>
        <w:t xml:space="preserve"> GB/T12325中相关规定;</w:t>
      </w:r>
    </w:p>
    <w:p w14:paraId="6C25ADE0">
      <w:pPr>
        <w:pStyle w:val="8"/>
        <w:spacing w:beforeAutospacing="0" w:afterAutospacing="0" w:line="560" w:lineRule="exact"/>
        <w:ind w:right="92" w:firstLine="640" w:firstLineChars="200"/>
        <w:jc w:val="both"/>
        <w:rPr>
          <w:rFonts w:hint="eastAsia" w:ascii="宋体" w:hAnsi="宋体" w:eastAsia="宋体" w:cs="宋体"/>
          <w:spacing w:val="6"/>
          <w:kern w:val="2"/>
          <w:sz w:val="32"/>
          <w:szCs w:val="32"/>
          <w:highlight w:val="yellow"/>
          <w:lang w:eastAsia="zh" w:bidi="ar"/>
          <w:woUserID w:val="1"/>
        </w:rPr>
      </w:pPr>
      <w:r>
        <w:rPr>
          <w:rFonts w:hint="eastAsia" w:ascii="宋体" w:hAnsi="宋体" w:eastAsia="宋体" w:cs="宋体"/>
          <w:sz w:val="32"/>
          <w:szCs w:val="32"/>
          <w:lang w:eastAsia="zh" w:bidi="ar"/>
          <w:woUserID w:val="1"/>
        </w:rPr>
        <w:t xml:space="preserve">3 </w:t>
      </w:r>
      <w:r>
        <w:rPr>
          <w:rFonts w:hint="eastAsia" w:ascii="宋体" w:hAnsi="宋体" w:eastAsia="宋体" w:cs="宋体"/>
          <w:sz w:val="32"/>
          <w:szCs w:val="32"/>
          <w:lang w:bidi="ar"/>
          <w:woUserID w:val="1"/>
        </w:rPr>
        <w:t>分布式电源接入后，所接入公共连接点的电压波动和闪变值应符合</w:t>
      </w:r>
      <w:r>
        <w:rPr>
          <w:rFonts w:hint="eastAsia" w:ascii="宋体" w:hAnsi="宋体" w:eastAsia="宋体" w:cs="宋体"/>
          <w:sz w:val="32"/>
          <w:szCs w:val="32"/>
          <w:lang w:eastAsia="zh" w:bidi="ar"/>
          <w:woUserID w:val="1"/>
        </w:rPr>
        <w:t>《电能质量电压波动和闪变》</w:t>
      </w:r>
      <w:r>
        <w:rPr>
          <w:rFonts w:hint="eastAsia" w:ascii="宋体" w:hAnsi="宋体" w:eastAsia="宋体" w:cs="宋体"/>
          <w:sz w:val="32"/>
          <w:szCs w:val="32"/>
          <w:lang w:bidi="ar"/>
          <w:woUserID w:val="1"/>
        </w:rPr>
        <w:t>GB/T12326中相关规定;</w:t>
      </w:r>
    </w:p>
    <w:p w14:paraId="32422347">
      <w:pPr>
        <w:pStyle w:val="8"/>
        <w:spacing w:beforeAutospacing="0" w:afterAutospacing="0" w:line="560" w:lineRule="exact"/>
        <w:ind w:right="92" w:firstLine="640" w:firstLineChars="200"/>
        <w:jc w:val="both"/>
        <w:rPr>
          <w:rFonts w:hint="eastAsia" w:ascii="宋体" w:hAnsi="宋体" w:eastAsia="宋体" w:cs="宋体"/>
          <w:sz w:val="32"/>
          <w:szCs w:val="32"/>
          <w:lang w:bidi="ar"/>
          <w:woUserID w:val="1"/>
        </w:rPr>
      </w:pPr>
      <w:r>
        <w:rPr>
          <w:rFonts w:hint="eastAsia" w:ascii="宋体" w:hAnsi="宋体" w:eastAsia="宋体" w:cs="宋体"/>
          <w:sz w:val="32"/>
          <w:szCs w:val="32"/>
          <w:lang w:eastAsia="zh" w:bidi="ar"/>
          <w:woUserID w:val="1"/>
        </w:rPr>
        <w:t xml:space="preserve">4 </w:t>
      </w:r>
      <w:r>
        <w:rPr>
          <w:rFonts w:hint="eastAsia" w:ascii="宋体" w:hAnsi="宋体" w:eastAsia="宋体" w:cs="宋体"/>
          <w:sz w:val="32"/>
          <w:szCs w:val="32"/>
          <w:lang w:bidi="ar"/>
          <w:woUserID w:val="1"/>
        </w:rPr>
        <w:t>分布式电源接入后，所接入公共连接点的电压不平衡度应符合</w:t>
      </w:r>
      <w:r>
        <w:rPr>
          <w:rFonts w:hint="eastAsia" w:ascii="宋体" w:hAnsi="宋体" w:eastAsia="宋体" w:cs="宋体"/>
          <w:sz w:val="32"/>
          <w:szCs w:val="32"/>
          <w:lang w:eastAsia="zh" w:bidi="ar"/>
          <w:woUserID w:val="1"/>
        </w:rPr>
        <w:t>《电能质量三相电压不平衡》</w:t>
      </w:r>
      <w:r>
        <w:rPr>
          <w:rFonts w:hint="eastAsia" w:ascii="宋体" w:hAnsi="宋体" w:eastAsia="宋体" w:cs="宋体"/>
          <w:sz w:val="32"/>
          <w:szCs w:val="32"/>
          <w:lang w:bidi="ar"/>
          <w:woUserID w:val="1"/>
        </w:rPr>
        <w:t>GB/T 15543中相关规定。</w:t>
      </w:r>
    </w:p>
    <w:p w14:paraId="2105C38C">
      <w:pPr>
        <w:pStyle w:val="8"/>
        <w:spacing w:beforeAutospacing="0" w:afterAutospacing="0" w:line="560" w:lineRule="exact"/>
        <w:ind w:right="92"/>
        <w:jc w:val="both"/>
        <w:rPr>
          <w:rFonts w:hint="eastAsia" w:ascii="宋体" w:hAnsi="宋体" w:eastAsia="宋体" w:cs="宋体"/>
          <w:sz w:val="32"/>
          <w:szCs w:val="32"/>
          <w:lang w:eastAsia="zh" w:bidi="ar"/>
          <w:woUserID w:val="1"/>
        </w:rPr>
      </w:pPr>
      <w:r>
        <w:rPr>
          <w:rFonts w:hint="eastAsia" w:ascii="宋体" w:hAnsi="宋体" w:eastAsia="宋体" w:cs="宋体"/>
          <w:sz w:val="32"/>
          <w:szCs w:val="32"/>
          <w:lang w:bidi="ar"/>
          <w:woUserID w:val="1"/>
        </w:rPr>
        <w:t>1</w:t>
      </w:r>
      <w:r>
        <w:rPr>
          <w:rFonts w:hint="eastAsia" w:ascii="宋体" w:hAnsi="宋体" w:eastAsia="宋体" w:cs="宋体"/>
          <w:sz w:val="32"/>
          <w:szCs w:val="32"/>
          <w:lang w:eastAsia="zh" w:bidi="ar"/>
          <w:woUserID w:val="1"/>
        </w:rPr>
        <w:t>0</w:t>
      </w:r>
      <w:r>
        <w:rPr>
          <w:rFonts w:hint="eastAsia" w:ascii="宋体" w:hAnsi="宋体" w:eastAsia="宋体" w:cs="宋体"/>
          <w:sz w:val="32"/>
          <w:szCs w:val="32"/>
          <w:lang w:bidi="ar"/>
          <w:woUserID w:val="1"/>
        </w:rPr>
        <w:t>.</w:t>
      </w:r>
      <w:r>
        <w:rPr>
          <w:rFonts w:hint="eastAsia" w:ascii="宋体" w:hAnsi="宋体" w:eastAsia="宋体" w:cs="宋体"/>
          <w:sz w:val="32"/>
          <w:szCs w:val="32"/>
          <w:lang w:val="en-US" w:eastAsia="zh-CN" w:bidi="ar"/>
          <w:woUserID w:val="1"/>
        </w:rPr>
        <w:t>6</w:t>
      </w:r>
      <w:r>
        <w:rPr>
          <w:rFonts w:hint="eastAsia" w:ascii="宋体" w:hAnsi="宋体" w:eastAsia="宋体" w:cs="宋体"/>
          <w:sz w:val="32"/>
          <w:szCs w:val="32"/>
          <w:lang w:bidi="ar"/>
          <w:woUserID w:val="1"/>
        </w:rPr>
        <w:t>.</w:t>
      </w:r>
      <w:r>
        <w:rPr>
          <w:rFonts w:hint="eastAsia" w:ascii="宋体" w:hAnsi="宋体" w:eastAsia="宋体" w:cs="宋体"/>
          <w:sz w:val="32"/>
          <w:szCs w:val="32"/>
          <w:lang w:eastAsia="zh" w:bidi="ar"/>
          <w:woUserID w:val="1"/>
        </w:rPr>
        <w:t xml:space="preserve">2 </w:t>
      </w:r>
      <w:r>
        <w:rPr>
          <w:rFonts w:hint="eastAsia" w:ascii="宋体" w:hAnsi="宋体" w:eastAsia="宋体" w:cs="宋体"/>
          <w:sz w:val="32"/>
          <w:szCs w:val="32"/>
          <w:lang w:bidi="ar"/>
          <w:woUserID w:val="1"/>
        </w:rPr>
        <w:t>用户侧低压进线开关及分布式电源出口处开关配置的保护应符合以下要求：</w:t>
      </w:r>
    </w:p>
    <w:p w14:paraId="59A13FFB">
      <w:pPr>
        <w:pStyle w:val="8"/>
        <w:spacing w:beforeAutospacing="0" w:afterAutospacing="0" w:line="560" w:lineRule="exact"/>
        <w:ind w:right="92" w:firstLine="640" w:firstLineChars="200"/>
        <w:jc w:val="both"/>
        <w:rPr>
          <w:rFonts w:hint="eastAsia" w:ascii="宋体" w:hAnsi="宋体" w:eastAsia="宋体" w:cs="宋体"/>
          <w:spacing w:val="6"/>
          <w:kern w:val="2"/>
          <w:sz w:val="32"/>
          <w:szCs w:val="32"/>
          <w:highlight w:val="yellow"/>
          <w:lang w:eastAsia="zh" w:bidi="ar"/>
          <w:woUserID w:val="1"/>
        </w:rPr>
      </w:pPr>
      <w:r>
        <w:rPr>
          <w:rFonts w:hint="eastAsia" w:ascii="宋体" w:hAnsi="宋体" w:eastAsia="宋体" w:cs="宋体"/>
          <w:sz w:val="32"/>
          <w:szCs w:val="32"/>
          <w:lang w:eastAsia="zh" w:bidi="ar"/>
          <w:woUserID w:val="1"/>
        </w:rPr>
        <w:t xml:space="preserve">1 </w:t>
      </w:r>
      <w:r>
        <w:rPr>
          <w:rFonts w:hint="eastAsia" w:ascii="宋体" w:hAnsi="宋体" w:eastAsia="宋体" w:cs="宋体"/>
          <w:sz w:val="32"/>
          <w:szCs w:val="32"/>
          <w:lang w:bidi="ar"/>
          <w:woUserID w:val="1"/>
        </w:rPr>
        <w:t>保护定值中涉及的电流、电压、时间等定值应符合 GB 50054 的要求</w:t>
      </w:r>
      <w:r>
        <w:rPr>
          <w:rFonts w:hint="eastAsia" w:ascii="宋体" w:hAnsi="宋体" w:eastAsia="宋体" w:cs="宋体"/>
          <w:kern w:val="2"/>
          <w:sz w:val="32"/>
          <w:szCs w:val="32"/>
          <w:woUserID w:val="1"/>
        </w:rPr>
        <w:t>；</w:t>
      </w:r>
    </w:p>
    <w:p w14:paraId="50E5C0D4">
      <w:pPr>
        <w:pStyle w:val="8"/>
        <w:spacing w:beforeAutospacing="0" w:afterAutospacing="0" w:line="560" w:lineRule="exact"/>
        <w:ind w:right="92" w:firstLine="640" w:firstLineChars="200"/>
        <w:jc w:val="both"/>
        <w:rPr>
          <w:rFonts w:ascii="仿宋" w:hAnsi="仿宋" w:eastAsia="仿宋" w:cs="仿宋"/>
          <w:sz w:val="32"/>
          <w:szCs w:val="32"/>
          <w:lang w:bidi="ar"/>
          <w:woUserID w:val="1"/>
        </w:rPr>
      </w:pPr>
      <w:r>
        <w:rPr>
          <w:rFonts w:hint="eastAsia" w:ascii="宋体" w:hAnsi="宋体" w:eastAsia="宋体" w:cs="宋体"/>
          <w:sz w:val="32"/>
          <w:szCs w:val="32"/>
          <w:lang w:eastAsia="zh" w:bidi="ar"/>
          <w:woUserID w:val="1"/>
        </w:rPr>
        <w:t xml:space="preserve">2 </w:t>
      </w:r>
      <w:r>
        <w:rPr>
          <w:rFonts w:hint="eastAsia" w:ascii="宋体" w:hAnsi="宋体" w:eastAsia="宋体" w:cs="宋体"/>
          <w:sz w:val="32"/>
          <w:szCs w:val="32"/>
          <w:lang w:bidi="ar"/>
          <w:woUserID w:val="1"/>
        </w:rPr>
        <w:t>配置的相关保护应符合配网侧的配电低压总开关处配置保护的配合要求，且应与用户内部系统配合。</w:t>
      </w:r>
    </w:p>
    <w:p w14:paraId="098D18F1">
      <w:pPr>
        <w:widowControl/>
        <w:spacing w:line="560" w:lineRule="exact"/>
        <w:jc w:val="left"/>
        <w:rPr>
          <w:rFonts w:hint="default" w:ascii="仿宋" w:hAnsi="仿宋" w:eastAsia="仿宋" w:cs="仿宋"/>
          <w:spacing w:val="6"/>
          <w:sz w:val="32"/>
          <w:szCs w:val="32"/>
          <w:lang w:val="en-US" w:eastAsia="zh-CN" w:bidi="ar"/>
        </w:rPr>
      </w:pPr>
    </w:p>
    <w:p w14:paraId="7A9502E7">
      <w:pPr>
        <w:rPr>
          <w:rFonts w:hint="eastAsia" w:ascii="宋体" w:hAnsi="宋体" w:eastAsia="宋体" w:cs="宋体"/>
          <w:b/>
          <w:bCs/>
          <w:color w:val="000000"/>
          <w:spacing w:val="-6"/>
          <w:kern w:val="0"/>
          <w:sz w:val="32"/>
          <w:szCs w:val="32"/>
          <w:lang w:val="en-US" w:eastAsia="zh-CN" w:bidi="ar"/>
        </w:rPr>
      </w:pPr>
      <w:bookmarkStart w:id="10" w:name="_Toc9009"/>
      <w:r>
        <w:rPr>
          <w:rFonts w:hint="eastAsia" w:ascii="宋体" w:hAnsi="宋体" w:eastAsia="宋体" w:cs="宋体"/>
          <w:b/>
          <w:bCs/>
          <w:color w:val="000000"/>
          <w:spacing w:val="-6"/>
          <w:kern w:val="0"/>
          <w:sz w:val="32"/>
          <w:szCs w:val="32"/>
          <w:lang w:val="en-US" w:eastAsia="zh-CN" w:bidi="ar"/>
        </w:rPr>
        <w:br w:type="page"/>
      </w:r>
    </w:p>
    <w:p w14:paraId="1A29A9DA">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val="en-US" w:eastAsia="zh-CN" w:bidi="ar"/>
        </w:rPr>
      </w:pPr>
      <w:r>
        <w:rPr>
          <w:rFonts w:hint="eastAsia" w:ascii="宋体" w:hAnsi="宋体" w:eastAsia="宋体" w:cs="宋体"/>
          <w:b/>
          <w:bCs/>
          <w:color w:val="000000"/>
          <w:spacing w:val="-6"/>
          <w:kern w:val="0"/>
          <w:sz w:val="32"/>
          <w:szCs w:val="32"/>
          <w:lang w:val="en-US" w:eastAsia="zh-CN" w:bidi="ar"/>
        </w:rPr>
        <w:t>11</w:t>
      </w:r>
      <w:r>
        <w:rPr>
          <w:rFonts w:hint="eastAsia" w:ascii="宋体" w:hAnsi="宋体" w:eastAsia="宋体" w:cs="宋体"/>
          <w:b/>
          <w:bCs/>
          <w:color w:val="000000"/>
          <w:spacing w:val="-6"/>
          <w:kern w:val="0"/>
          <w:sz w:val="32"/>
          <w:szCs w:val="32"/>
          <w:lang w:bidi="ar"/>
        </w:rPr>
        <w:t xml:space="preserve"> </w:t>
      </w:r>
      <w:r>
        <w:rPr>
          <w:rFonts w:hint="eastAsia" w:ascii="宋体" w:hAnsi="宋体" w:eastAsia="宋体" w:cs="宋体"/>
          <w:b/>
          <w:bCs/>
          <w:color w:val="000000"/>
          <w:spacing w:val="-6"/>
          <w:kern w:val="0"/>
          <w:sz w:val="32"/>
          <w:szCs w:val="32"/>
          <w:lang w:val="en-US" w:eastAsia="zh-CN" w:bidi="ar"/>
        </w:rPr>
        <w:t>施工和验收</w:t>
      </w:r>
      <w:bookmarkEnd w:id="10"/>
    </w:p>
    <w:p w14:paraId="30CE92BC">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1"/>
        </w:rPr>
      </w:pPr>
      <w:r>
        <w:rPr>
          <w:rFonts w:hint="eastAsia" w:ascii="宋体" w:hAnsi="宋体" w:eastAsia="宋体" w:cs="宋体"/>
          <w:b/>
          <w:bCs/>
          <w:color w:val="000000"/>
          <w:spacing w:val="-6"/>
          <w:kern w:val="0"/>
          <w:sz w:val="32"/>
          <w:szCs w:val="32"/>
          <w:lang w:val="en-US" w:eastAsia="zh-CN" w:bidi="ar"/>
          <w:woUserID w:val="1"/>
        </w:rPr>
        <w:t>1</w:t>
      </w:r>
      <w:r>
        <w:rPr>
          <w:rFonts w:hint="eastAsia" w:ascii="宋体" w:hAnsi="宋体" w:eastAsia="宋体" w:cs="宋体"/>
          <w:b/>
          <w:bCs/>
          <w:color w:val="000000"/>
          <w:spacing w:val="-6"/>
          <w:kern w:val="0"/>
          <w:sz w:val="32"/>
          <w:szCs w:val="32"/>
          <w:lang w:val="en-US" w:eastAsia="zh" w:bidi="ar"/>
          <w:woUserID w:val="1"/>
        </w:rPr>
        <w:t>1</w:t>
      </w:r>
      <w:r>
        <w:rPr>
          <w:rFonts w:hint="eastAsia" w:ascii="宋体" w:hAnsi="宋体" w:eastAsia="宋体" w:cs="宋体"/>
          <w:b/>
          <w:bCs/>
          <w:color w:val="000000"/>
          <w:spacing w:val="-6"/>
          <w:kern w:val="0"/>
          <w:sz w:val="32"/>
          <w:szCs w:val="32"/>
          <w:lang w:val="en-US" w:eastAsia="zh-CN" w:bidi="ar"/>
          <w:woUserID w:val="1"/>
        </w:rPr>
        <w:t xml:space="preserve">.1 </w:t>
      </w:r>
      <w:r>
        <w:rPr>
          <w:rFonts w:hint="eastAsia" w:ascii="宋体" w:hAnsi="宋体" w:eastAsia="宋体" w:cs="宋体"/>
          <w:b/>
          <w:bCs/>
          <w:color w:val="000000"/>
          <w:spacing w:val="-6"/>
          <w:kern w:val="0"/>
          <w:sz w:val="32"/>
          <w:szCs w:val="32"/>
          <w:lang w:val="en-US" w:eastAsia="zh" w:bidi="ar"/>
          <w:woUserID w:val="1"/>
        </w:rPr>
        <w:t>一般规定</w:t>
      </w:r>
    </w:p>
    <w:p w14:paraId="552FCFD1">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11.1.1</w:t>
      </w:r>
      <w:r>
        <w:rPr>
          <w:rFonts w:hint="eastAsia" w:ascii="宋体" w:hAnsi="宋体" w:eastAsia="宋体" w:cs="宋体"/>
          <w:spacing w:val="6"/>
          <w:sz w:val="32"/>
          <w:szCs w:val="32"/>
          <w:lang w:val="en-US" w:eastAsia="zh" w:bidi="ar"/>
        </w:rPr>
        <w:t>住宅</w:t>
      </w:r>
      <w:r>
        <w:rPr>
          <w:rFonts w:hint="eastAsia" w:ascii="宋体" w:hAnsi="宋体" w:eastAsia="宋体" w:cs="宋体"/>
          <w:spacing w:val="6"/>
          <w:sz w:val="32"/>
          <w:szCs w:val="32"/>
          <w:lang w:val="en-US" w:eastAsia="zh" w:bidi="ar"/>
          <w:woUserID w:val="1"/>
        </w:rPr>
        <w:t>建筑</w:t>
      </w:r>
      <w:r>
        <w:rPr>
          <w:rFonts w:hint="eastAsia" w:ascii="宋体" w:hAnsi="宋体" w:eastAsia="宋体" w:cs="宋体"/>
          <w:spacing w:val="6"/>
          <w:sz w:val="32"/>
          <w:szCs w:val="32"/>
          <w:lang w:val="en-US" w:eastAsia="zh" w:bidi="ar"/>
        </w:rPr>
        <w:t>供配电工程的施工及质量验收应符合现行国家标准《建筑工程施工质量验收统一标准》GB 50300、《建筑电气与智能化通用规范》GB</w:t>
      </w:r>
      <w:r>
        <w:rPr>
          <w:rFonts w:hint="eastAsia" w:ascii="宋体" w:hAnsi="宋体" w:eastAsia="宋体" w:cs="宋体"/>
          <w:spacing w:val="6"/>
          <w:sz w:val="32"/>
          <w:szCs w:val="32"/>
          <w:lang w:val="en-US" w:eastAsia="zh-CN" w:bidi="ar"/>
        </w:rPr>
        <w:t xml:space="preserve"> </w:t>
      </w:r>
      <w:r>
        <w:rPr>
          <w:rFonts w:hint="eastAsia" w:ascii="宋体" w:hAnsi="宋体" w:eastAsia="宋体" w:cs="宋体"/>
          <w:spacing w:val="6"/>
          <w:sz w:val="32"/>
          <w:szCs w:val="32"/>
          <w:lang w:val="en-US" w:eastAsia="zh" w:bidi="ar"/>
        </w:rPr>
        <w:t>55024、《建筑节能与可再生能源利用通用规范》GB</w:t>
      </w:r>
      <w:r>
        <w:rPr>
          <w:rFonts w:hint="eastAsia" w:ascii="宋体" w:hAnsi="宋体" w:eastAsia="宋体" w:cs="宋体"/>
          <w:spacing w:val="6"/>
          <w:sz w:val="32"/>
          <w:szCs w:val="32"/>
          <w:lang w:val="en-US" w:eastAsia="zh-CN" w:bidi="ar"/>
        </w:rPr>
        <w:t xml:space="preserve"> </w:t>
      </w:r>
      <w:r>
        <w:rPr>
          <w:rFonts w:hint="eastAsia" w:ascii="宋体" w:hAnsi="宋体" w:eastAsia="宋体" w:cs="宋体"/>
          <w:spacing w:val="6"/>
          <w:sz w:val="32"/>
          <w:szCs w:val="32"/>
          <w:lang w:val="en-US" w:eastAsia="zh" w:bidi="ar"/>
        </w:rPr>
        <w:t>55015、《建筑与市政工程施工质量控制通用规范》GB 55032、《建筑电气工程施工质量验收规范》GB 50303和《建筑节能工程施工质量验收规范》</w:t>
      </w:r>
      <w:r>
        <w:rPr>
          <w:rFonts w:hint="eastAsia" w:ascii="宋体" w:hAnsi="宋体" w:eastAsia="宋体" w:cs="宋体"/>
          <w:spacing w:val="6"/>
          <w:sz w:val="32"/>
          <w:szCs w:val="32"/>
          <w:lang w:val="en-US" w:eastAsia="zh" w:bidi="ar"/>
          <w:woUserID w:val="1"/>
        </w:rPr>
        <w:t>G</w:t>
      </w:r>
      <w:r>
        <w:rPr>
          <w:rFonts w:hint="eastAsia" w:ascii="宋体" w:hAnsi="宋体" w:eastAsia="宋体" w:cs="宋体"/>
          <w:spacing w:val="6"/>
          <w:sz w:val="32"/>
          <w:szCs w:val="32"/>
          <w:lang w:val="en-US" w:eastAsia="zh" w:bidi="ar"/>
        </w:rPr>
        <w:t>B 50411的相关规定</w:t>
      </w:r>
      <w:r>
        <w:rPr>
          <w:rFonts w:hint="eastAsia" w:ascii="宋体" w:hAnsi="宋体" w:eastAsia="宋体" w:cs="宋体"/>
          <w:spacing w:val="6"/>
          <w:sz w:val="32"/>
          <w:szCs w:val="32"/>
          <w:lang w:val="en-US" w:eastAsia="zh" w:bidi="ar"/>
          <w:woUserID w:val="1"/>
        </w:rPr>
        <w:t>。</w:t>
      </w:r>
    </w:p>
    <w:p w14:paraId="1B95DCA6">
      <w:pPr>
        <w:widowControl/>
        <w:spacing w:line="560" w:lineRule="exact"/>
        <w:jc w:val="left"/>
        <w:rPr>
          <w:rFonts w:hint="eastAsia" w:ascii="宋体" w:hAnsi="宋体" w:eastAsia="宋体" w:cs="宋体"/>
          <w:spacing w:val="6"/>
          <w:sz w:val="32"/>
          <w:szCs w:val="32"/>
          <w:lang w:val="en-US" w:eastAsia="zh" w:bidi="ar"/>
        </w:rPr>
      </w:pPr>
      <w:r>
        <w:rPr>
          <w:rFonts w:hint="eastAsia" w:ascii="宋体" w:hAnsi="宋体" w:eastAsia="宋体" w:cs="宋体"/>
          <w:spacing w:val="6"/>
          <w:sz w:val="32"/>
          <w:szCs w:val="32"/>
          <w:lang w:val="en-US" w:eastAsia="zh" w:bidi="ar"/>
          <w:woUserID w:val="1"/>
        </w:rPr>
        <w:t>1</w:t>
      </w:r>
      <w:r>
        <w:rPr>
          <w:rFonts w:hint="eastAsia" w:ascii="宋体" w:hAnsi="宋体" w:eastAsia="宋体" w:cs="宋体"/>
          <w:spacing w:val="6"/>
          <w:sz w:val="32"/>
          <w:szCs w:val="32"/>
          <w:lang w:val="en-US" w:eastAsia="zh" w:bidi="ar"/>
        </w:rPr>
        <w:t>1.</w:t>
      </w:r>
      <w:r>
        <w:rPr>
          <w:rFonts w:hint="eastAsia" w:ascii="宋体" w:hAnsi="宋体" w:eastAsia="宋体" w:cs="宋体"/>
          <w:spacing w:val="6"/>
          <w:sz w:val="32"/>
          <w:szCs w:val="32"/>
          <w:lang w:val="en-US" w:eastAsia="zh" w:bidi="ar"/>
          <w:woUserID w:val="1"/>
        </w:rPr>
        <w:t>1.</w:t>
      </w:r>
      <w:r>
        <w:rPr>
          <w:rFonts w:hint="eastAsia" w:ascii="宋体" w:hAnsi="宋体" w:eastAsia="宋体" w:cs="宋体"/>
          <w:spacing w:val="6"/>
          <w:sz w:val="32"/>
          <w:szCs w:val="32"/>
          <w:lang w:val="en-US" w:eastAsia="zh" w:bidi="ar"/>
        </w:rPr>
        <w:t>2 施工单位应建立项目质量管理体系，明确质量责任人及岗位职责，建立质量责任追溯制度。</w:t>
      </w:r>
    </w:p>
    <w:p w14:paraId="32F1816D">
      <w:pPr>
        <w:widowControl/>
        <w:spacing w:line="560" w:lineRule="exact"/>
        <w:jc w:val="left"/>
        <w:rPr>
          <w:rFonts w:hint="eastAsia" w:ascii="宋体" w:hAnsi="宋体" w:eastAsia="宋体" w:cs="宋体"/>
          <w:spacing w:val="6"/>
          <w:sz w:val="32"/>
          <w:szCs w:val="32"/>
          <w:lang w:val="en-US" w:eastAsia="zh" w:bidi="ar"/>
        </w:rPr>
      </w:pPr>
      <w:r>
        <w:rPr>
          <w:rFonts w:hint="eastAsia" w:ascii="宋体" w:hAnsi="宋体" w:eastAsia="宋体" w:cs="宋体"/>
          <w:spacing w:val="6"/>
          <w:sz w:val="32"/>
          <w:szCs w:val="32"/>
          <w:lang w:val="en-US" w:eastAsia="zh" w:bidi="ar"/>
          <w:woUserID w:val="1"/>
        </w:rPr>
        <w:t>1</w:t>
      </w:r>
      <w:r>
        <w:rPr>
          <w:rFonts w:hint="eastAsia" w:ascii="宋体" w:hAnsi="宋体" w:eastAsia="宋体" w:cs="宋体"/>
          <w:spacing w:val="6"/>
          <w:sz w:val="32"/>
          <w:szCs w:val="32"/>
          <w:lang w:val="en-US" w:eastAsia="zh" w:bidi="ar"/>
        </w:rPr>
        <w:t>1.</w:t>
      </w:r>
      <w:r>
        <w:rPr>
          <w:rFonts w:hint="eastAsia" w:ascii="宋体" w:hAnsi="宋体" w:eastAsia="宋体" w:cs="宋体"/>
          <w:spacing w:val="6"/>
          <w:sz w:val="32"/>
          <w:szCs w:val="32"/>
          <w:lang w:val="en-US" w:eastAsia="zh" w:bidi="ar"/>
          <w:woUserID w:val="1"/>
        </w:rPr>
        <w:t>1.3</w:t>
      </w:r>
      <w:r>
        <w:rPr>
          <w:rFonts w:hint="eastAsia" w:ascii="宋体" w:hAnsi="宋体" w:eastAsia="宋体" w:cs="宋体"/>
          <w:spacing w:val="6"/>
          <w:sz w:val="32"/>
          <w:szCs w:val="32"/>
          <w:lang w:val="en-US" w:eastAsia="zh" w:bidi="ar"/>
        </w:rPr>
        <w:t xml:space="preserve"> 施工现场安装和调试用各类计量器具应检定合格，且使用时应在检定有效期内。</w:t>
      </w:r>
    </w:p>
    <w:p w14:paraId="2EEBA34D">
      <w:pPr>
        <w:widowControl/>
        <w:spacing w:line="560" w:lineRule="exact"/>
        <w:jc w:val="left"/>
        <w:rPr>
          <w:rFonts w:hint="eastAsia" w:ascii="宋体" w:hAnsi="宋体" w:eastAsia="宋体" w:cs="宋体"/>
          <w:spacing w:val="6"/>
          <w:sz w:val="32"/>
          <w:szCs w:val="32"/>
          <w:lang w:val="en-US" w:eastAsia="zh" w:bidi="ar"/>
        </w:rPr>
      </w:pPr>
      <w:r>
        <w:rPr>
          <w:rFonts w:hint="eastAsia" w:ascii="宋体" w:hAnsi="宋体" w:eastAsia="宋体" w:cs="宋体"/>
          <w:spacing w:val="6"/>
          <w:sz w:val="32"/>
          <w:szCs w:val="32"/>
          <w:lang w:val="en-US" w:eastAsia="zh" w:bidi="ar"/>
          <w:woUserID w:val="1"/>
        </w:rPr>
        <w:t>1</w:t>
      </w:r>
      <w:r>
        <w:rPr>
          <w:rFonts w:hint="eastAsia" w:ascii="宋体" w:hAnsi="宋体" w:eastAsia="宋体" w:cs="宋体"/>
          <w:spacing w:val="6"/>
          <w:sz w:val="32"/>
          <w:szCs w:val="32"/>
          <w:lang w:val="en-US" w:eastAsia="zh" w:bidi="ar"/>
        </w:rPr>
        <w:t>1.</w:t>
      </w:r>
      <w:r>
        <w:rPr>
          <w:rFonts w:hint="eastAsia" w:ascii="宋体" w:hAnsi="宋体" w:eastAsia="宋体" w:cs="宋体"/>
          <w:spacing w:val="6"/>
          <w:sz w:val="32"/>
          <w:szCs w:val="32"/>
          <w:lang w:val="en-US" w:eastAsia="zh" w:bidi="ar"/>
          <w:woUserID w:val="1"/>
        </w:rPr>
        <w:t>1.4</w:t>
      </w:r>
      <w:r>
        <w:rPr>
          <w:rFonts w:hint="eastAsia" w:ascii="宋体" w:hAnsi="宋体" w:eastAsia="宋体" w:cs="宋体"/>
          <w:spacing w:val="6"/>
          <w:sz w:val="32"/>
          <w:szCs w:val="32"/>
          <w:lang w:val="en-US" w:eastAsia="zh" w:bidi="ar"/>
        </w:rPr>
        <w:t xml:space="preserve"> 住宅</w:t>
      </w:r>
      <w:r>
        <w:rPr>
          <w:rFonts w:hint="eastAsia" w:ascii="宋体" w:hAnsi="宋体" w:eastAsia="宋体" w:cs="宋体"/>
          <w:spacing w:val="6"/>
          <w:sz w:val="32"/>
          <w:szCs w:val="32"/>
          <w:lang w:val="en-US" w:eastAsia="zh" w:bidi="ar"/>
          <w:woUserID w:val="1"/>
        </w:rPr>
        <w:t>建筑</w:t>
      </w:r>
      <w:r>
        <w:rPr>
          <w:rFonts w:hint="eastAsia" w:ascii="宋体" w:hAnsi="宋体" w:eastAsia="宋体" w:cs="宋体"/>
          <w:spacing w:val="6"/>
          <w:sz w:val="32"/>
          <w:szCs w:val="32"/>
          <w:lang w:val="en-US" w:eastAsia="zh" w:bidi="ar"/>
        </w:rPr>
        <w:t>供配电工程应与建设工程主体同步施工、同步验收。</w:t>
      </w:r>
    </w:p>
    <w:p w14:paraId="2B608F22">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val="en-US" w:eastAsia="zh" w:bidi="ar"/>
          <w:woUserID w:val="1"/>
        </w:rPr>
      </w:pPr>
      <w:r>
        <w:rPr>
          <w:rFonts w:hint="eastAsia" w:ascii="宋体" w:hAnsi="宋体" w:eastAsia="宋体" w:cs="宋体"/>
          <w:b/>
          <w:bCs/>
          <w:color w:val="000000"/>
          <w:spacing w:val="-6"/>
          <w:kern w:val="0"/>
          <w:sz w:val="32"/>
          <w:szCs w:val="32"/>
          <w:lang w:val="en-US" w:eastAsia="zh-CN" w:bidi="ar"/>
          <w:woUserID w:val="1"/>
        </w:rPr>
        <w:t>1</w:t>
      </w:r>
      <w:r>
        <w:rPr>
          <w:rFonts w:hint="eastAsia" w:ascii="宋体" w:hAnsi="宋体" w:eastAsia="宋体" w:cs="宋体"/>
          <w:b/>
          <w:bCs/>
          <w:color w:val="000000"/>
          <w:spacing w:val="-6"/>
          <w:kern w:val="0"/>
          <w:sz w:val="32"/>
          <w:szCs w:val="32"/>
          <w:lang w:val="en-US" w:eastAsia="zh" w:bidi="ar"/>
          <w:woUserID w:val="1"/>
        </w:rPr>
        <w:t>1</w:t>
      </w:r>
      <w:r>
        <w:rPr>
          <w:rFonts w:hint="eastAsia" w:ascii="宋体" w:hAnsi="宋体" w:eastAsia="宋体" w:cs="宋体"/>
          <w:b/>
          <w:bCs/>
          <w:color w:val="000000"/>
          <w:spacing w:val="-6"/>
          <w:kern w:val="0"/>
          <w:sz w:val="32"/>
          <w:szCs w:val="32"/>
          <w:lang w:val="en-US" w:eastAsia="zh-CN" w:bidi="ar"/>
          <w:woUserID w:val="1"/>
        </w:rPr>
        <w:t>.</w:t>
      </w:r>
      <w:r>
        <w:rPr>
          <w:rFonts w:hint="eastAsia" w:ascii="宋体" w:hAnsi="宋体" w:eastAsia="宋体" w:cs="宋体"/>
          <w:b/>
          <w:bCs/>
          <w:color w:val="000000"/>
          <w:spacing w:val="-6"/>
          <w:kern w:val="0"/>
          <w:sz w:val="32"/>
          <w:szCs w:val="32"/>
          <w:lang w:val="en-US" w:eastAsia="zh" w:bidi="ar"/>
          <w:woUserID w:val="1"/>
        </w:rPr>
        <w:t>2</w:t>
      </w:r>
      <w:r>
        <w:rPr>
          <w:rFonts w:hint="eastAsia" w:ascii="宋体" w:hAnsi="宋体" w:eastAsia="宋体" w:cs="宋体"/>
          <w:b/>
          <w:bCs/>
          <w:color w:val="000000"/>
          <w:spacing w:val="-6"/>
          <w:kern w:val="0"/>
          <w:sz w:val="32"/>
          <w:szCs w:val="32"/>
          <w:lang w:val="en-US" w:eastAsia="zh-CN" w:bidi="ar"/>
          <w:woUserID w:val="1"/>
        </w:rPr>
        <w:t xml:space="preserve"> </w:t>
      </w:r>
      <w:r>
        <w:rPr>
          <w:rFonts w:hint="eastAsia" w:ascii="宋体" w:hAnsi="宋体" w:eastAsia="宋体" w:cs="宋体"/>
          <w:b/>
          <w:bCs/>
          <w:color w:val="000000"/>
          <w:spacing w:val="-6"/>
          <w:kern w:val="0"/>
          <w:sz w:val="32"/>
          <w:szCs w:val="32"/>
          <w:lang w:val="en-US" w:eastAsia="zh" w:bidi="ar"/>
          <w:woUserID w:val="1"/>
        </w:rPr>
        <w:t>施工要求</w:t>
      </w:r>
    </w:p>
    <w:p w14:paraId="0F38A12C">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11.2.1 住宅建筑供配电工程施工前，施工单位应根据已通过施工图审查的设计文件编制专项施工方案，并应进行现场安全技术交底。</w:t>
      </w:r>
    </w:p>
    <w:p w14:paraId="3456BB10">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11.2.2 电气施工单位应做好施工组织，与土建、给排水、通风、消防和人防等施工单位密切配合，做好施工资料。</w:t>
      </w:r>
    </w:p>
    <w:p w14:paraId="506AD735">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11.2.3 住宅建筑供配电工程施工时，每道施工工序完成后，经施工单位自检符合要求后，</w:t>
      </w:r>
      <w:r>
        <w:rPr>
          <w:rFonts w:hint="eastAsia" w:ascii="宋体" w:hAnsi="宋体" w:eastAsia="宋体" w:cs="宋体"/>
          <w:spacing w:val="6"/>
          <w:sz w:val="32"/>
          <w:szCs w:val="32"/>
          <w:lang w:val="en-US" w:eastAsia="zh-CN" w:bidi="ar"/>
          <w:woUserID w:val="1"/>
        </w:rPr>
        <w:t>方</w:t>
      </w:r>
      <w:r>
        <w:rPr>
          <w:rFonts w:hint="eastAsia" w:ascii="宋体" w:hAnsi="宋体" w:eastAsia="宋体" w:cs="宋体"/>
          <w:spacing w:val="6"/>
          <w:sz w:val="32"/>
          <w:szCs w:val="32"/>
          <w:lang w:val="en-US" w:eastAsia="zh" w:bidi="ar"/>
          <w:woUserID w:val="1"/>
        </w:rPr>
        <w:t>可进行下道工序施工。各专业工种之间的相关工序应进行交接检验，并应记录。</w:t>
      </w:r>
    </w:p>
    <w:p w14:paraId="2E411D06">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1"/>
        </w:rPr>
      </w:pPr>
      <w:r>
        <w:rPr>
          <w:rFonts w:hint="eastAsia" w:ascii="宋体" w:hAnsi="宋体" w:eastAsia="宋体" w:cs="宋体"/>
          <w:b/>
          <w:bCs/>
          <w:color w:val="000000"/>
          <w:spacing w:val="-6"/>
          <w:kern w:val="0"/>
          <w:sz w:val="32"/>
          <w:szCs w:val="32"/>
          <w:lang w:val="en-US" w:eastAsia="zh-CN" w:bidi="ar"/>
          <w:woUserID w:val="1"/>
        </w:rPr>
        <w:t>1</w:t>
      </w:r>
      <w:r>
        <w:rPr>
          <w:rFonts w:hint="eastAsia" w:ascii="宋体" w:hAnsi="宋体" w:eastAsia="宋体" w:cs="宋体"/>
          <w:b/>
          <w:bCs/>
          <w:color w:val="000000"/>
          <w:spacing w:val="-6"/>
          <w:kern w:val="0"/>
          <w:sz w:val="32"/>
          <w:szCs w:val="32"/>
          <w:lang w:val="en-US" w:eastAsia="zh" w:bidi="ar"/>
          <w:woUserID w:val="1"/>
        </w:rPr>
        <w:t>1</w:t>
      </w:r>
      <w:r>
        <w:rPr>
          <w:rFonts w:hint="eastAsia" w:ascii="宋体" w:hAnsi="宋体" w:eastAsia="宋体" w:cs="宋体"/>
          <w:b/>
          <w:bCs/>
          <w:color w:val="000000"/>
          <w:spacing w:val="-6"/>
          <w:kern w:val="0"/>
          <w:sz w:val="32"/>
          <w:szCs w:val="32"/>
          <w:lang w:val="en-US" w:eastAsia="zh-CN" w:bidi="ar"/>
          <w:woUserID w:val="1"/>
        </w:rPr>
        <w:t>.</w:t>
      </w:r>
      <w:r>
        <w:rPr>
          <w:rFonts w:hint="eastAsia" w:ascii="宋体" w:hAnsi="宋体" w:eastAsia="宋体" w:cs="宋体"/>
          <w:b/>
          <w:bCs/>
          <w:color w:val="000000"/>
          <w:spacing w:val="-6"/>
          <w:kern w:val="0"/>
          <w:sz w:val="32"/>
          <w:szCs w:val="32"/>
          <w:lang w:val="en-US" w:eastAsia="zh" w:bidi="ar"/>
          <w:woUserID w:val="1"/>
        </w:rPr>
        <w:t>3</w:t>
      </w:r>
      <w:r>
        <w:rPr>
          <w:rFonts w:hint="eastAsia" w:ascii="宋体" w:hAnsi="宋体" w:eastAsia="宋体" w:cs="宋体"/>
          <w:b/>
          <w:bCs/>
          <w:color w:val="000000"/>
          <w:spacing w:val="-6"/>
          <w:kern w:val="0"/>
          <w:sz w:val="32"/>
          <w:szCs w:val="32"/>
          <w:lang w:val="en-US" w:eastAsia="zh-CN" w:bidi="ar"/>
          <w:woUserID w:val="1"/>
        </w:rPr>
        <w:t xml:space="preserve"> </w:t>
      </w:r>
      <w:r>
        <w:rPr>
          <w:rFonts w:hint="eastAsia" w:ascii="宋体" w:hAnsi="宋体" w:eastAsia="宋体" w:cs="宋体"/>
          <w:b/>
          <w:bCs/>
          <w:color w:val="000000"/>
          <w:spacing w:val="-6"/>
          <w:kern w:val="0"/>
          <w:sz w:val="32"/>
          <w:szCs w:val="32"/>
          <w:lang w:val="en-US" w:eastAsia="zh" w:bidi="ar"/>
          <w:woUserID w:val="1"/>
        </w:rPr>
        <w:t>验收要求</w:t>
      </w:r>
    </w:p>
    <w:p w14:paraId="3D0A48C1">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11.3.1住宅建筑供配电工程的主要设备、材料、成品和半成品应符合国家有关产品安全的规定及设计要求，进场前应验收合格，并应做好验收记录和验收资料归档。</w:t>
      </w:r>
    </w:p>
    <w:p w14:paraId="30E793DF">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11.3.2 住宅建筑供配电工程施工过程中，应及时进行质量检查、隐蔽工程验收、检验批验收和分项工程验收。各分项工程验收后，应进行相应子分部工程验收、建筑电气分部工程验收和单位工程竣工验收。</w:t>
      </w:r>
    </w:p>
    <w:p w14:paraId="71895E22">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11.3.3 中压电气设备、布线系统以及继电保护系统应做交接试验，并应符合现行国家标准《电气装置安装工程电气设备交接试验标准》GB 50150的有关规定。低压电气设备和布线系统的交接试验，应符合现行国家标准《建筑电气工程施工质量验收规范》GB 50303的有关规定。</w:t>
      </w:r>
    </w:p>
    <w:p w14:paraId="641B54E0">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11.3.4 供配电系统施工完成后，应由具备专业调试能力的单位进行系统调试，并出具调试报告。</w:t>
      </w:r>
    </w:p>
    <w:p w14:paraId="6F026779">
      <w:pPr>
        <w:rPr>
          <w:rFonts w:hint="eastAsia" w:ascii="宋体" w:hAnsi="宋体" w:eastAsia="宋体" w:cs="宋体"/>
          <w:sz w:val="32"/>
          <w:szCs w:val="32"/>
        </w:rPr>
      </w:pPr>
      <w:r>
        <w:rPr>
          <w:rFonts w:hint="eastAsia" w:ascii="宋体" w:hAnsi="宋体" w:eastAsia="宋体" w:cs="宋体"/>
          <w:spacing w:val="6"/>
          <w:sz w:val="32"/>
          <w:szCs w:val="32"/>
          <w:lang w:val="en-US" w:eastAsia="zh" w:bidi="ar"/>
          <w:woUserID w:val="1"/>
        </w:rPr>
        <w:t>11.3.</w:t>
      </w:r>
      <w:r>
        <w:rPr>
          <w:rFonts w:hint="eastAsia" w:ascii="宋体" w:hAnsi="宋体" w:eastAsia="宋体" w:cs="宋体"/>
          <w:spacing w:val="6"/>
          <w:sz w:val="32"/>
          <w:szCs w:val="32"/>
          <w:lang w:val="en-US" w:eastAsia="zh-CN" w:bidi="ar"/>
          <w:woUserID w:val="1"/>
        </w:rPr>
        <w:t>5</w:t>
      </w:r>
      <w:r>
        <w:rPr>
          <w:rFonts w:hint="eastAsia" w:ascii="宋体" w:hAnsi="宋体" w:eastAsia="宋体" w:cs="宋体"/>
          <w:sz w:val="32"/>
          <w:szCs w:val="32"/>
        </w:rPr>
        <w:t xml:space="preserve"> 建筑电气防火相关工程验收应重点核查电线电缆燃烧性能、防火封堵、线路敷设、箱柜安装、接地与等电位联结、电气火灾监测装置及重点部位防火保护措施。</w:t>
      </w:r>
    </w:p>
    <w:p w14:paraId="78886B12">
      <w:pPr>
        <w:rPr>
          <w:rFonts w:hint="eastAsia" w:ascii="宋体" w:hAnsi="宋体" w:eastAsia="宋体" w:cs="宋体"/>
          <w:sz w:val="32"/>
          <w:szCs w:val="32"/>
        </w:rPr>
      </w:pPr>
      <w:r>
        <w:rPr>
          <w:rFonts w:hint="eastAsia" w:ascii="宋体" w:hAnsi="宋体" w:eastAsia="宋体" w:cs="宋体"/>
          <w:spacing w:val="6"/>
          <w:sz w:val="32"/>
          <w:szCs w:val="32"/>
          <w:lang w:val="en-US" w:eastAsia="zh" w:bidi="ar"/>
          <w:woUserID w:val="1"/>
        </w:rPr>
        <w:t>11.3.</w:t>
      </w:r>
      <w:r>
        <w:rPr>
          <w:rFonts w:hint="eastAsia" w:ascii="宋体" w:hAnsi="宋体" w:eastAsia="宋体" w:cs="宋体"/>
          <w:spacing w:val="6"/>
          <w:sz w:val="32"/>
          <w:szCs w:val="32"/>
          <w:lang w:val="en-US" w:eastAsia="zh-CN" w:bidi="ar"/>
          <w:woUserID w:val="1"/>
        </w:rPr>
        <w:t>6</w:t>
      </w:r>
      <w:r>
        <w:rPr>
          <w:rFonts w:hint="eastAsia" w:ascii="宋体" w:hAnsi="宋体" w:eastAsia="宋体" w:cs="宋体"/>
          <w:sz w:val="32"/>
          <w:szCs w:val="32"/>
        </w:rPr>
        <w:t xml:space="preserve"> 建筑电气防火相关工程验收时，每个分支回路导线相间及相对地的绝缘电阻值不应小于0.5MΩ。</w:t>
      </w:r>
    </w:p>
    <w:p w14:paraId="2BC7510B">
      <w:pPr>
        <w:rPr>
          <w:rFonts w:hint="eastAsia" w:ascii="宋体" w:hAnsi="宋体" w:eastAsia="宋体" w:cs="宋体"/>
          <w:sz w:val="32"/>
          <w:szCs w:val="32"/>
        </w:rPr>
      </w:pPr>
      <w:r>
        <w:rPr>
          <w:rFonts w:hint="eastAsia" w:ascii="宋体" w:hAnsi="宋体" w:eastAsia="宋体" w:cs="宋体"/>
          <w:spacing w:val="6"/>
          <w:sz w:val="32"/>
          <w:szCs w:val="32"/>
          <w:lang w:val="en-US" w:eastAsia="zh" w:bidi="ar"/>
          <w:woUserID w:val="1"/>
        </w:rPr>
        <w:t>11.3.</w:t>
      </w:r>
      <w:r>
        <w:rPr>
          <w:rFonts w:hint="eastAsia" w:ascii="宋体" w:hAnsi="宋体" w:eastAsia="宋体" w:cs="宋体"/>
          <w:spacing w:val="6"/>
          <w:sz w:val="32"/>
          <w:szCs w:val="32"/>
          <w:lang w:val="en-US" w:eastAsia="zh-CN" w:bidi="ar"/>
          <w:woUserID w:val="1"/>
        </w:rPr>
        <w:t>7</w:t>
      </w:r>
      <w:r>
        <w:rPr>
          <w:rFonts w:hint="eastAsia" w:ascii="宋体" w:hAnsi="宋体" w:eastAsia="宋体" w:cs="宋体"/>
          <w:sz w:val="32"/>
          <w:szCs w:val="32"/>
        </w:rPr>
        <w:t xml:space="preserve"> 剩余电流保护装置的实测动作电流应在0.5I</w:t>
      </w:r>
      <w:r>
        <w:rPr>
          <w:rFonts w:hint="eastAsia" w:ascii="宋体" w:hAnsi="宋体" w:eastAsia="宋体" w:cs="宋体"/>
          <w:sz w:val="32"/>
          <w:szCs w:val="32"/>
          <w:vertAlign w:val="subscript"/>
        </w:rPr>
        <w:t>Δn</w:t>
      </w:r>
      <w:r>
        <w:rPr>
          <w:rFonts w:hint="eastAsia" w:ascii="宋体" w:hAnsi="宋体" w:eastAsia="宋体" w:cs="宋体"/>
          <w:sz w:val="32"/>
          <w:szCs w:val="32"/>
        </w:rPr>
        <w:t xml:space="preserve"> ~ I</w:t>
      </w:r>
      <w:r>
        <w:rPr>
          <w:rFonts w:hint="eastAsia" w:ascii="宋体" w:hAnsi="宋体" w:eastAsia="宋体" w:cs="宋体"/>
          <w:sz w:val="32"/>
          <w:szCs w:val="32"/>
          <w:vertAlign w:val="subscript"/>
        </w:rPr>
        <w:t>Δn</w:t>
      </w:r>
      <w:r>
        <w:rPr>
          <w:rFonts w:hint="eastAsia" w:ascii="宋体" w:hAnsi="宋体" w:eastAsia="宋体" w:cs="宋体"/>
          <w:sz w:val="32"/>
          <w:szCs w:val="32"/>
        </w:rPr>
        <w:t>之间，I</w:t>
      </w:r>
      <w:r>
        <w:rPr>
          <w:rFonts w:hint="eastAsia" w:ascii="宋体" w:hAnsi="宋体" w:eastAsia="宋体" w:cs="宋体"/>
          <w:sz w:val="32"/>
          <w:szCs w:val="32"/>
          <w:vertAlign w:val="subscript"/>
        </w:rPr>
        <w:t>Δn</w:t>
      </w:r>
      <w:r>
        <w:rPr>
          <w:rFonts w:hint="eastAsia" w:ascii="宋体" w:hAnsi="宋体" w:eastAsia="宋体" w:cs="宋体"/>
          <w:sz w:val="32"/>
          <w:szCs w:val="32"/>
        </w:rPr>
        <w:t>为额定剩余动作电流。</w:t>
      </w:r>
    </w:p>
    <w:p w14:paraId="7D815A33">
      <w:pPr>
        <w:rPr>
          <w:rFonts w:hint="eastAsia" w:ascii="宋体" w:hAnsi="宋体" w:eastAsia="宋体" w:cs="宋体"/>
          <w:sz w:val="32"/>
          <w:szCs w:val="32"/>
        </w:rPr>
      </w:pPr>
      <w:r>
        <w:rPr>
          <w:rFonts w:hint="eastAsia" w:ascii="宋体" w:hAnsi="宋体" w:eastAsia="宋体" w:cs="宋体"/>
          <w:spacing w:val="6"/>
          <w:sz w:val="32"/>
          <w:szCs w:val="32"/>
          <w:lang w:val="en-US" w:eastAsia="zh" w:bidi="ar"/>
          <w:woUserID w:val="1"/>
        </w:rPr>
        <w:t>11.3.</w:t>
      </w:r>
      <w:r>
        <w:rPr>
          <w:rFonts w:hint="eastAsia" w:ascii="宋体" w:hAnsi="宋体" w:eastAsia="宋体" w:cs="宋体"/>
          <w:spacing w:val="6"/>
          <w:sz w:val="32"/>
          <w:szCs w:val="32"/>
          <w:lang w:val="en-US" w:eastAsia="zh-CN" w:bidi="ar"/>
          <w:woUserID w:val="1"/>
        </w:rPr>
        <w:t>8</w:t>
      </w:r>
      <w:r>
        <w:rPr>
          <w:rFonts w:hint="eastAsia" w:ascii="宋体" w:hAnsi="宋体" w:eastAsia="宋体" w:cs="宋体"/>
          <w:sz w:val="32"/>
          <w:szCs w:val="32"/>
        </w:rPr>
        <w:t>对配电箱柜、母排、接线端子、电缆终端头等部位进行带电测温时，受检设备和线路应带载运行不少于1h；温度变化率小于1℃/h，或带载运行时间超过4 h时，可判定为达到热稳定状态。</w:t>
      </w:r>
    </w:p>
    <w:p w14:paraId="224F1FBB">
      <w:pPr>
        <w:widowControl/>
        <w:spacing w:line="560" w:lineRule="exact"/>
        <w:jc w:val="left"/>
        <w:rPr>
          <w:rFonts w:hint="eastAsia" w:ascii="宋体" w:hAnsi="宋体" w:eastAsia="宋体" w:cs="宋体"/>
          <w:spacing w:val="6"/>
          <w:sz w:val="32"/>
          <w:szCs w:val="32"/>
          <w:lang w:val="en-US" w:eastAsia="zh" w:bidi="ar"/>
          <w:woUserID w:val="1"/>
        </w:rPr>
      </w:pPr>
    </w:p>
    <w:p w14:paraId="6747098F">
      <w:pPr>
        <w:widowControl/>
        <w:spacing w:line="560" w:lineRule="exact"/>
        <w:jc w:val="left"/>
        <w:rPr>
          <w:rFonts w:hint="eastAsia" w:ascii="宋体" w:hAnsi="宋体" w:eastAsia="宋体" w:cs="宋体"/>
          <w:spacing w:val="6"/>
          <w:sz w:val="32"/>
          <w:szCs w:val="32"/>
          <w:lang w:val="en-US" w:eastAsia="zh" w:bidi="ar"/>
          <w:woUserID w:val="1"/>
        </w:rPr>
      </w:pPr>
    </w:p>
    <w:p w14:paraId="1A024213">
      <w:pPr>
        <w:rPr>
          <w:rFonts w:hint="eastAsia" w:ascii="宋体" w:hAnsi="宋体" w:eastAsia="宋体" w:cs="宋体"/>
          <w:b/>
          <w:bCs/>
          <w:color w:val="000000"/>
          <w:spacing w:val="-6"/>
          <w:kern w:val="0"/>
          <w:sz w:val="32"/>
          <w:szCs w:val="32"/>
          <w:lang w:val="en-US" w:eastAsia="zh-CN" w:bidi="ar"/>
        </w:rPr>
      </w:pPr>
      <w:bookmarkStart w:id="11" w:name="_Toc6977"/>
      <w:r>
        <w:rPr>
          <w:rFonts w:hint="eastAsia" w:ascii="宋体" w:hAnsi="宋体" w:eastAsia="宋体" w:cs="宋体"/>
          <w:b/>
          <w:bCs/>
          <w:color w:val="000000"/>
          <w:spacing w:val="-6"/>
          <w:kern w:val="0"/>
          <w:sz w:val="32"/>
          <w:szCs w:val="32"/>
          <w:lang w:val="en-US" w:eastAsia="zh-CN" w:bidi="ar"/>
        </w:rPr>
        <w:br w:type="page"/>
      </w:r>
    </w:p>
    <w:p w14:paraId="7A2E8D40">
      <w:pPr>
        <w:widowControl/>
        <w:kinsoku w:val="0"/>
        <w:autoSpaceDE w:val="0"/>
        <w:autoSpaceDN w:val="0"/>
        <w:adjustRightInd w:val="0"/>
        <w:snapToGrid w:val="0"/>
        <w:spacing w:line="560" w:lineRule="exact"/>
        <w:jc w:val="center"/>
        <w:textAlignment w:val="baseline"/>
        <w:outlineLvl w:val="0"/>
        <w:rPr>
          <w:rFonts w:hint="eastAsia" w:ascii="宋体" w:hAnsi="宋体" w:eastAsia="宋体" w:cs="宋体"/>
          <w:b/>
          <w:bCs/>
          <w:color w:val="000000"/>
          <w:spacing w:val="-6"/>
          <w:kern w:val="0"/>
          <w:sz w:val="32"/>
          <w:szCs w:val="32"/>
          <w:lang w:val="en-US" w:eastAsia="zh-CN" w:bidi="ar"/>
        </w:rPr>
      </w:pPr>
      <w:r>
        <w:rPr>
          <w:rFonts w:hint="eastAsia" w:ascii="宋体" w:hAnsi="宋体" w:eastAsia="宋体" w:cs="宋体"/>
          <w:b/>
          <w:bCs/>
          <w:color w:val="000000"/>
          <w:spacing w:val="-6"/>
          <w:kern w:val="0"/>
          <w:sz w:val="32"/>
          <w:szCs w:val="32"/>
          <w:lang w:val="en-US" w:eastAsia="zh-CN" w:bidi="ar"/>
        </w:rPr>
        <w:t>12 运行维护</w:t>
      </w:r>
      <w:bookmarkEnd w:id="11"/>
    </w:p>
    <w:p w14:paraId="6758339D">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1"/>
        </w:rPr>
      </w:pPr>
      <w:r>
        <w:rPr>
          <w:rFonts w:hint="eastAsia" w:ascii="宋体" w:hAnsi="宋体" w:eastAsia="宋体" w:cs="宋体"/>
          <w:b/>
          <w:bCs/>
          <w:color w:val="000000"/>
          <w:spacing w:val="-6"/>
          <w:kern w:val="0"/>
          <w:sz w:val="32"/>
          <w:szCs w:val="32"/>
          <w:lang w:val="en-US" w:eastAsia="zh-CN" w:bidi="ar"/>
          <w:woUserID w:val="1"/>
        </w:rPr>
        <w:t>1</w:t>
      </w:r>
      <w:r>
        <w:rPr>
          <w:rFonts w:hint="eastAsia" w:ascii="宋体" w:hAnsi="宋体" w:eastAsia="宋体" w:cs="宋体"/>
          <w:b/>
          <w:bCs/>
          <w:color w:val="000000"/>
          <w:spacing w:val="-6"/>
          <w:kern w:val="0"/>
          <w:sz w:val="32"/>
          <w:szCs w:val="32"/>
          <w:lang w:val="en-US" w:eastAsia="zh" w:bidi="ar"/>
          <w:woUserID w:val="1"/>
        </w:rPr>
        <w:t>2</w:t>
      </w:r>
      <w:r>
        <w:rPr>
          <w:rFonts w:hint="eastAsia" w:ascii="宋体" w:hAnsi="宋体" w:eastAsia="宋体" w:cs="宋体"/>
          <w:b/>
          <w:bCs/>
          <w:color w:val="000000"/>
          <w:spacing w:val="-6"/>
          <w:kern w:val="0"/>
          <w:sz w:val="32"/>
          <w:szCs w:val="32"/>
          <w:lang w:val="en-US" w:eastAsia="zh-CN" w:bidi="ar"/>
          <w:woUserID w:val="1"/>
        </w:rPr>
        <w:t xml:space="preserve">.1 </w:t>
      </w:r>
      <w:r>
        <w:rPr>
          <w:rFonts w:hint="eastAsia" w:ascii="宋体" w:hAnsi="宋体" w:eastAsia="宋体" w:cs="宋体"/>
          <w:b/>
          <w:bCs/>
          <w:color w:val="000000"/>
          <w:spacing w:val="-6"/>
          <w:kern w:val="0"/>
          <w:sz w:val="32"/>
          <w:szCs w:val="32"/>
          <w:lang w:val="en-US" w:eastAsia="zh" w:bidi="ar"/>
          <w:woUserID w:val="1"/>
        </w:rPr>
        <w:t>一般规定</w:t>
      </w:r>
    </w:p>
    <w:p w14:paraId="70CB8E51">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12.1.1 电力用户或其委托的运维公司应明确供配电设施的管理部门和负责人员，并配置具有电力从业资格的人员，对于未按《电力用户供配电设施运行维护规范》GB/T 37136规定配置人员且拒不委托具备资质的运维公司或人员，应由当地电力行业主管部门责令整改。</w:t>
      </w:r>
    </w:p>
    <w:p w14:paraId="2B6A27FE">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12.1.2 运行维护单位应设置供配电设施运行和安全等管理岗位，负责管理设施的运行、安全等工作。</w:t>
      </w:r>
    </w:p>
    <w:p w14:paraId="3C1DE400">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12.1.3 运行维护单位应建立供配电设施运行维护规程及管理制度，并按相关管理办法开展相应的供配电设施试验检测，及时处理存在的缺陷。</w:t>
      </w:r>
    </w:p>
    <w:p w14:paraId="253BB099">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12.1.4运行维护单位应进行供配电设施安全运行分析及设备状态评价，并根据需要开展供配电设施更新改造。</w:t>
      </w:r>
    </w:p>
    <w:p w14:paraId="2EE32AB0">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eastAsia="zh" w:bidi="ar"/>
          <w:woUserID w:val="1"/>
        </w:rPr>
      </w:pPr>
      <w:r>
        <w:rPr>
          <w:rFonts w:hint="eastAsia" w:ascii="宋体" w:hAnsi="宋体" w:eastAsia="宋体" w:cs="宋体"/>
          <w:b/>
          <w:bCs/>
          <w:color w:val="000000"/>
          <w:spacing w:val="-6"/>
          <w:kern w:val="0"/>
          <w:sz w:val="32"/>
          <w:szCs w:val="32"/>
          <w:lang w:val="en-US" w:eastAsia="zh-CN" w:bidi="ar"/>
          <w:woUserID w:val="1"/>
        </w:rPr>
        <w:t>1</w:t>
      </w:r>
      <w:r>
        <w:rPr>
          <w:rFonts w:hint="eastAsia" w:ascii="宋体" w:hAnsi="宋体" w:eastAsia="宋体" w:cs="宋体"/>
          <w:b/>
          <w:bCs/>
          <w:color w:val="000000"/>
          <w:spacing w:val="-6"/>
          <w:kern w:val="0"/>
          <w:sz w:val="32"/>
          <w:szCs w:val="32"/>
          <w:lang w:val="en-US" w:eastAsia="zh" w:bidi="ar"/>
          <w:woUserID w:val="1"/>
        </w:rPr>
        <w:t>2</w:t>
      </w:r>
      <w:r>
        <w:rPr>
          <w:rFonts w:hint="eastAsia" w:ascii="宋体" w:hAnsi="宋体" w:eastAsia="宋体" w:cs="宋体"/>
          <w:b/>
          <w:bCs/>
          <w:color w:val="000000"/>
          <w:spacing w:val="-6"/>
          <w:kern w:val="0"/>
          <w:sz w:val="32"/>
          <w:szCs w:val="32"/>
          <w:lang w:val="en-US" w:eastAsia="zh-CN" w:bidi="ar"/>
          <w:woUserID w:val="1"/>
        </w:rPr>
        <w:t>.</w:t>
      </w:r>
      <w:r>
        <w:rPr>
          <w:rFonts w:hint="eastAsia" w:ascii="宋体" w:hAnsi="宋体" w:eastAsia="宋体" w:cs="宋体"/>
          <w:b/>
          <w:bCs/>
          <w:color w:val="000000"/>
          <w:spacing w:val="-6"/>
          <w:kern w:val="0"/>
          <w:sz w:val="32"/>
          <w:szCs w:val="32"/>
          <w:lang w:val="en-US" w:eastAsia="zh" w:bidi="ar"/>
          <w:woUserID w:val="1"/>
        </w:rPr>
        <w:t>2</w:t>
      </w:r>
      <w:r>
        <w:rPr>
          <w:rFonts w:hint="eastAsia" w:ascii="宋体" w:hAnsi="宋体" w:eastAsia="宋体" w:cs="宋体"/>
          <w:b/>
          <w:bCs/>
          <w:color w:val="000000"/>
          <w:spacing w:val="-6"/>
          <w:kern w:val="0"/>
          <w:sz w:val="32"/>
          <w:szCs w:val="32"/>
          <w:lang w:val="en-US" w:eastAsia="zh-CN" w:bidi="ar"/>
          <w:woUserID w:val="1"/>
        </w:rPr>
        <w:t xml:space="preserve"> </w:t>
      </w:r>
      <w:r>
        <w:rPr>
          <w:rFonts w:hint="eastAsia" w:ascii="宋体" w:hAnsi="宋体" w:eastAsia="宋体" w:cs="宋体"/>
          <w:b/>
          <w:bCs/>
          <w:color w:val="000000"/>
          <w:spacing w:val="-6"/>
          <w:kern w:val="0"/>
          <w:sz w:val="32"/>
          <w:szCs w:val="32"/>
          <w:lang w:val="en-US" w:eastAsia="zh" w:bidi="ar"/>
          <w:woUserID w:val="1"/>
        </w:rPr>
        <w:t>界限划分</w:t>
      </w:r>
    </w:p>
    <w:p w14:paraId="76304D15">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12.2.1住宅建筑配套建设的供配电设施，经产权人同意，移交给供配电管理企业后，由供配电管理企业承担运行维护和更新改造责任。</w:t>
      </w:r>
    </w:p>
    <w:p w14:paraId="01004F78">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12.2.2 住宅建筑配套建设供配电设施移交给供配电管理企业时，应签订移交协议，明确相关责任和义务。</w:t>
      </w:r>
    </w:p>
    <w:p w14:paraId="38DDBF47">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12.2.3 住宅建筑公共设施用电由产权人委托其他有资质的运维公司承担运行维护和更新改造责任。</w:t>
      </w:r>
    </w:p>
    <w:p w14:paraId="01F5AE73">
      <w:pPr>
        <w:widowControl/>
        <w:kinsoku w:val="0"/>
        <w:autoSpaceDE w:val="0"/>
        <w:autoSpaceDN w:val="0"/>
        <w:adjustRightInd w:val="0"/>
        <w:snapToGrid w:val="0"/>
        <w:spacing w:line="560" w:lineRule="exact"/>
        <w:jc w:val="center"/>
        <w:textAlignment w:val="baseline"/>
        <w:outlineLvl w:val="1"/>
        <w:rPr>
          <w:rFonts w:hint="eastAsia" w:ascii="宋体" w:hAnsi="宋体" w:eastAsia="宋体" w:cs="宋体"/>
          <w:b/>
          <w:bCs/>
          <w:color w:val="000000"/>
          <w:spacing w:val="-6"/>
          <w:kern w:val="0"/>
          <w:sz w:val="32"/>
          <w:szCs w:val="32"/>
          <w:lang w:val="en-US" w:eastAsia="zh" w:bidi="ar"/>
          <w:woUserID w:val="1"/>
        </w:rPr>
      </w:pPr>
      <w:r>
        <w:rPr>
          <w:rFonts w:hint="eastAsia" w:ascii="宋体" w:hAnsi="宋体" w:eastAsia="宋体" w:cs="宋体"/>
          <w:b/>
          <w:bCs/>
          <w:color w:val="000000"/>
          <w:spacing w:val="-6"/>
          <w:kern w:val="0"/>
          <w:sz w:val="32"/>
          <w:szCs w:val="32"/>
          <w:lang w:val="en-US" w:eastAsia="zh" w:bidi="ar"/>
          <w:woUserID w:val="1"/>
        </w:rPr>
        <w:t>12.3 运维要求</w:t>
      </w:r>
    </w:p>
    <w:p w14:paraId="059248B7">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12.3.1 运维公司应按照《电力用户供配电设施运行维护规范》GB/T 37136《四川省电力用户受电设施及配电设施运维检修服务管理规范》DB51/T3149和《用户配电室智能化运维管理规范》DB51/T3232做好运行维护工作。</w:t>
      </w:r>
    </w:p>
    <w:p w14:paraId="4EDD6A82">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12.3.2 运维公司应按照《成都市住宅小区居民供配电及其附属配套设施运行维护管理办法》中供配电设施及附属设施开展巡视。</w:t>
      </w:r>
    </w:p>
    <w:p w14:paraId="07FBEBDD">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12.3.3 供配电设施的巡视可分为定期巡视和特殊巡视。定期巡视为正常情况下设施运行状态的检查巡视;特殊巡视为恶劣气候条件下、设备存在严重缺陷及新设备投运等特殊情况下对设施的巡视检查。</w:t>
      </w:r>
    </w:p>
    <w:p w14:paraId="79E1AA57">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12.3.4 定期巡视范围包括：</w:t>
      </w:r>
    </w:p>
    <w:p w14:paraId="798F4E87">
      <w:pPr>
        <w:widowControl/>
        <w:spacing w:line="560" w:lineRule="exact"/>
        <w:ind w:firstLine="664" w:firstLineChars="200"/>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 架空线路、电缆及其附属电气设备及设施。</w:t>
      </w:r>
    </w:p>
    <w:p w14:paraId="196EA365">
      <w:pPr>
        <w:widowControl/>
        <w:spacing w:line="560" w:lineRule="exact"/>
        <w:ind w:firstLine="664" w:firstLineChars="200"/>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2 变压器、开关柜、自动化终端、电容器、继电保护及安全自动装置等电气设备。</w:t>
      </w:r>
    </w:p>
    <w:p w14:paraId="6D6A9EB3">
      <w:pPr>
        <w:widowControl/>
        <w:spacing w:line="560" w:lineRule="exact"/>
        <w:ind w:firstLine="664" w:firstLineChars="200"/>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3 电力设施保护区内影响安全的环境和行为。</w:t>
      </w:r>
    </w:p>
    <w:p w14:paraId="1734B60F">
      <w:pPr>
        <w:widowControl/>
        <w:spacing w:line="560" w:lineRule="exact"/>
        <w:ind w:firstLine="664" w:firstLineChars="200"/>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4 标准、标识及相关设施</w:t>
      </w:r>
    </w:p>
    <w:p w14:paraId="2480E2DE">
      <w:pPr>
        <w:widowControl/>
        <w:spacing w:line="560" w:lineRule="exact"/>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12.3.5 特殊巡视范围包括：</w:t>
      </w:r>
    </w:p>
    <w:p w14:paraId="54061770">
      <w:pPr>
        <w:widowControl/>
        <w:spacing w:line="560" w:lineRule="exact"/>
        <w:ind w:firstLine="664" w:firstLineChars="200"/>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1 存在外力破坏可能或恶劣气象条件下影响安全运行的线路及设备。</w:t>
      </w:r>
    </w:p>
    <w:p w14:paraId="7DF85855">
      <w:pPr>
        <w:widowControl/>
        <w:spacing w:line="560" w:lineRule="exact"/>
        <w:ind w:firstLine="664" w:firstLineChars="200"/>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2 设备缺陷近期有发展和有严重缺陷、异常情况、有薄弱环节或可能造成缺陷的线路及设备。</w:t>
      </w:r>
    </w:p>
    <w:p w14:paraId="730305E9">
      <w:pPr>
        <w:widowControl/>
        <w:spacing w:line="560" w:lineRule="exact"/>
        <w:ind w:firstLine="664" w:firstLineChars="200"/>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3新投运、大修预试后、改造和长期停用后重新投运的线路及设备。</w:t>
      </w:r>
    </w:p>
    <w:p w14:paraId="03045703">
      <w:pPr>
        <w:widowControl/>
        <w:spacing w:line="560" w:lineRule="exact"/>
        <w:ind w:firstLine="664" w:firstLineChars="200"/>
        <w:jc w:val="left"/>
        <w:rPr>
          <w:rFonts w:hint="eastAsia" w:ascii="宋体" w:hAnsi="宋体" w:eastAsia="宋体" w:cs="宋体"/>
          <w:spacing w:val="6"/>
          <w:sz w:val="32"/>
          <w:szCs w:val="32"/>
          <w:lang w:val="en-US" w:eastAsia="zh" w:bidi="ar"/>
          <w:woUserID w:val="1"/>
        </w:rPr>
      </w:pPr>
      <w:r>
        <w:rPr>
          <w:rFonts w:hint="eastAsia" w:ascii="宋体" w:hAnsi="宋体" w:eastAsia="宋体" w:cs="宋体"/>
          <w:spacing w:val="6"/>
          <w:sz w:val="32"/>
          <w:szCs w:val="32"/>
          <w:lang w:val="en-US" w:eastAsia="zh" w:bidi="ar"/>
          <w:woUserID w:val="1"/>
        </w:rPr>
        <w:t>4 其他危及人身安全的设备隐患。</w:t>
      </w:r>
    </w:p>
    <w:p w14:paraId="355BEE59">
      <w:pPr>
        <w:rPr>
          <w:rFonts w:hint="eastAsia" w:ascii="宋体" w:hAnsi="宋体" w:eastAsia="宋体" w:cs="宋体"/>
          <w:sz w:val="32"/>
          <w:szCs w:val="32"/>
        </w:rPr>
      </w:pPr>
      <w:r>
        <w:rPr>
          <w:rFonts w:hint="eastAsia" w:ascii="宋体" w:hAnsi="宋体" w:eastAsia="宋体" w:cs="宋体"/>
          <w:spacing w:val="6"/>
          <w:sz w:val="32"/>
          <w:szCs w:val="32"/>
          <w:lang w:val="en-US" w:eastAsia="zh" w:bidi="ar"/>
          <w:woUserID w:val="1"/>
        </w:rPr>
        <w:t>12.3.</w:t>
      </w:r>
      <w:r>
        <w:rPr>
          <w:rFonts w:hint="eastAsia" w:ascii="宋体" w:hAnsi="宋体" w:eastAsia="宋体" w:cs="宋体"/>
          <w:spacing w:val="6"/>
          <w:sz w:val="32"/>
          <w:szCs w:val="32"/>
          <w:lang w:val="en-US" w:eastAsia="zh-CN" w:bidi="ar"/>
          <w:woUserID w:val="1"/>
        </w:rPr>
        <w:t>6</w:t>
      </w:r>
      <w:r>
        <w:rPr>
          <w:rFonts w:hint="eastAsia" w:ascii="宋体" w:hAnsi="宋体" w:eastAsia="宋体" w:cs="宋体"/>
          <w:sz w:val="32"/>
          <w:szCs w:val="32"/>
        </w:rPr>
        <w:t xml:space="preserve"> 住宅小区投入运行后，运维单位应定期开展配电房、电气竖井、集中表箱、公共配电线路、重点用电场所和电气火灾监测装置的巡检、检测和维护。</w:t>
      </w:r>
    </w:p>
    <w:p w14:paraId="21335E4F">
      <w:pPr>
        <w:rPr>
          <w:rFonts w:hint="eastAsia" w:ascii="宋体" w:hAnsi="宋体" w:eastAsia="宋体" w:cs="宋体"/>
          <w:sz w:val="32"/>
          <w:szCs w:val="32"/>
        </w:rPr>
      </w:pPr>
      <w:r>
        <w:rPr>
          <w:rFonts w:hint="eastAsia" w:ascii="宋体" w:hAnsi="宋体" w:eastAsia="宋体" w:cs="宋体"/>
          <w:spacing w:val="6"/>
          <w:sz w:val="32"/>
          <w:szCs w:val="32"/>
          <w:lang w:val="en-US" w:eastAsia="zh" w:bidi="ar"/>
          <w:woUserID w:val="1"/>
        </w:rPr>
        <w:t>12.3.</w:t>
      </w:r>
      <w:r>
        <w:rPr>
          <w:rFonts w:hint="eastAsia" w:ascii="宋体" w:hAnsi="宋体" w:eastAsia="宋体" w:cs="宋体"/>
          <w:spacing w:val="6"/>
          <w:sz w:val="32"/>
          <w:szCs w:val="32"/>
          <w:lang w:val="en-US" w:eastAsia="zh-CN" w:bidi="ar"/>
          <w:woUserID w:val="1"/>
        </w:rPr>
        <w:t>7</w:t>
      </w:r>
      <w:r>
        <w:rPr>
          <w:rFonts w:hint="eastAsia" w:ascii="宋体" w:hAnsi="宋体" w:eastAsia="宋体" w:cs="宋体"/>
          <w:sz w:val="32"/>
          <w:szCs w:val="32"/>
        </w:rPr>
        <w:t xml:space="preserve"> 对出现端子过热、绝缘劣化、剩余电流异常、特征气体异常、报警频发或设备故障等情况的回路或部位，应及时排查原因并闭环整改。</w:t>
      </w:r>
    </w:p>
    <w:p w14:paraId="5F517792">
      <w:pPr>
        <w:rPr>
          <w:rFonts w:hint="eastAsia" w:ascii="宋体" w:hAnsi="宋体" w:eastAsia="宋体" w:cs="宋体"/>
          <w:sz w:val="32"/>
          <w:szCs w:val="32"/>
        </w:rPr>
      </w:pPr>
      <w:r>
        <w:rPr>
          <w:rFonts w:hint="eastAsia" w:ascii="宋体" w:hAnsi="宋体" w:eastAsia="宋体" w:cs="宋体"/>
          <w:spacing w:val="6"/>
          <w:sz w:val="32"/>
          <w:szCs w:val="32"/>
          <w:lang w:val="en-US" w:eastAsia="zh" w:bidi="ar"/>
          <w:woUserID w:val="1"/>
        </w:rPr>
        <w:t>12.3.</w:t>
      </w:r>
      <w:r>
        <w:rPr>
          <w:rFonts w:hint="eastAsia" w:ascii="宋体" w:hAnsi="宋体" w:eastAsia="宋体" w:cs="宋体"/>
          <w:spacing w:val="6"/>
          <w:sz w:val="32"/>
          <w:szCs w:val="32"/>
          <w:lang w:val="en-US" w:eastAsia="zh-CN" w:bidi="ar"/>
          <w:woUserID w:val="1"/>
        </w:rPr>
        <w:t>8</w:t>
      </w:r>
      <w:r>
        <w:rPr>
          <w:rFonts w:hint="eastAsia" w:ascii="宋体" w:hAnsi="宋体" w:eastAsia="宋体" w:cs="宋体"/>
          <w:sz w:val="32"/>
          <w:szCs w:val="32"/>
        </w:rPr>
        <w:t xml:space="preserve"> 住宅小区改建、扩建、增设充电设施或增加公共用电负荷时，应复核原有供配电容量、线路载流量、保护配置、防火封堵和监测预警配置，不应降低原有电气防火安全水平。</w:t>
      </w:r>
    </w:p>
    <w:p w14:paraId="5A45DC0F">
      <w:pPr>
        <w:widowControl/>
        <w:spacing w:line="560" w:lineRule="exact"/>
        <w:jc w:val="left"/>
        <w:rPr>
          <w:rFonts w:hint="eastAsia" w:ascii="宋体" w:hAnsi="宋体" w:eastAsia="宋体" w:cs="宋体"/>
          <w:spacing w:val="6"/>
          <w:sz w:val="32"/>
          <w:szCs w:val="32"/>
          <w:lang w:val="en-US" w:eastAsia="zh" w:bidi="ar"/>
          <w:woUserID w:val="1"/>
        </w:rPr>
      </w:pPr>
    </w:p>
    <w:p w14:paraId="7053397B">
      <w:pPr>
        <w:widowControl/>
        <w:spacing w:line="560" w:lineRule="exact"/>
        <w:jc w:val="left"/>
        <w:rPr>
          <w:rFonts w:hint="eastAsia" w:ascii="仿宋" w:hAnsi="仿宋" w:eastAsia="仿宋" w:cs="仿宋"/>
          <w:spacing w:val="6"/>
          <w:sz w:val="32"/>
          <w:szCs w:val="32"/>
          <w:lang w:val="en-US" w:eastAsia="zh" w:bidi="ar"/>
          <w:woUserID w:val="1"/>
        </w:rPr>
      </w:pPr>
    </w:p>
    <w:p w14:paraId="27766BDD">
      <w:pPr>
        <w:pStyle w:val="8"/>
        <w:spacing w:beforeAutospacing="0" w:afterAutospacing="0" w:line="560" w:lineRule="exact"/>
        <w:ind w:right="92" w:firstLine="640" w:firstLineChars="200"/>
        <w:jc w:val="both"/>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Emoji">
    <w:panose1 w:val="020B0502040204020203"/>
    <w:charset w:val="00"/>
    <w:family w:val="auto"/>
    <w:pitch w:val="default"/>
    <w:sig w:usb0="00000001" w:usb1="02000000" w:usb2="08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1330F2"/>
    <w:rsid w:val="001A665F"/>
    <w:rsid w:val="001B3A5A"/>
    <w:rsid w:val="00234EF7"/>
    <w:rsid w:val="00522D0D"/>
    <w:rsid w:val="00675386"/>
    <w:rsid w:val="006C506A"/>
    <w:rsid w:val="00825D22"/>
    <w:rsid w:val="008529D6"/>
    <w:rsid w:val="009325E7"/>
    <w:rsid w:val="00962235"/>
    <w:rsid w:val="00AA18CC"/>
    <w:rsid w:val="00C80F0B"/>
    <w:rsid w:val="00DA1FDC"/>
    <w:rsid w:val="00FE15BE"/>
    <w:rsid w:val="01785B98"/>
    <w:rsid w:val="03604B36"/>
    <w:rsid w:val="03D25294"/>
    <w:rsid w:val="04230F2B"/>
    <w:rsid w:val="04274B77"/>
    <w:rsid w:val="04F04B91"/>
    <w:rsid w:val="05C97A81"/>
    <w:rsid w:val="060A3568"/>
    <w:rsid w:val="067A7E6D"/>
    <w:rsid w:val="0822685D"/>
    <w:rsid w:val="09440650"/>
    <w:rsid w:val="0E112AAA"/>
    <w:rsid w:val="0F5B0404"/>
    <w:rsid w:val="0FFF01FC"/>
    <w:rsid w:val="104A6951"/>
    <w:rsid w:val="13815C3D"/>
    <w:rsid w:val="13BA49DD"/>
    <w:rsid w:val="13DF7EDE"/>
    <w:rsid w:val="13FC5893"/>
    <w:rsid w:val="14F72197"/>
    <w:rsid w:val="15484278"/>
    <w:rsid w:val="15B26D03"/>
    <w:rsid w:val="15C57410"/>
    <w:rsid w:val="16002224"/>
    <w:rsid w:val="162C46B0"/>
    <w:rsid w:val="1755CD34"/>
    <w:rsid w:val="17604CAC"/>
    <w:rsid w:val="178E848B"/>
    <w:rsid w:val="17907272"/>
    <w:rsid w:val="17BF9E20"/>
    <w:rsid w:val="17D529A7"/>
    <w:rsid w:val="19307BB5"/>
    <w:rsid w:val="1A564145"/>
    <w:rsid w:val="1AA95992"/>
    <w:rsid w:val="1ADBB01E"/>
    <w:rsid w:val="1B28569A"/>
    <w:rsid w:val="1BF6F2B0"/>
    <w:rsid w:val="1C08430B"/>
    <w:rsid w:val="1C3A6848"/>
    <w:rsid w:val="1C3C1ED4"/>
    <w:rsid w:val="1CA836D7"/>
    <w:rsid w:val="1CFE401D"/>
    <w:rsid w:val="1D594678"/>
    <w:rsid w:val="1DC42285"/>
    <w:rsid w:val="1DFE2117"/>
    <w:rsid w:val="1E1F4530"/>
    <w:rsid w:val="1EB12291"/>
    <w:rsid w:val="1EDE4E9E"/>
    <w:rsid w:val="1F3FCA32"/>
    <w:rsid w:val="1F8E2B45"/>
    <w:rsid w:val="1FBEC97E"/>
    <w:rsid w:val="1FE597CB"/>
    <w:rsid w:val="23FFF2C4"/>
    <w:rsid w:val="26393228"/>
    <w:rsid w:val="26CE90F7"/>
    <w:rsid w:val="277F5A0A"/>
    <w:rsid w:val="28CA5746"/>
    <w:rsid w:val="29C7FC66"/>
    <w:rsid w:val="29F67F29"/>
    <w:rsid w:val="2BD00CC3"/>
    <w:rsid w:val="2BFA8907"/>
    <w:rsid w:val="2C801DA1"/>
    <w:rsid w:val="2C880B48"/>
    <w:rsid w:val="2DBDCD5C"/>
    <w:rsid w:val="2DDB7FBC"/>
    <w:rsid w:val="2DFC520D"/>
    <w:rsid w:val="2DFE5CA4"/>
    <w:rsid w:val="2E556B1F"/>
    <w:rsid w:val="2E80797A"/>
    <w:rsid w:val="2EAF0046"/>
    <w:rsid w:val="2EBA4F4C"/>
    <w:rsid w:val="2EDDAD5B"/>
    <w:rsid w:val="2F6FC88C"/>
    <w:rsid w:val="2FCF211C"/>
    <w:rsid w:val="2FD96042"/>
    <w:rsid w:val="2FDF7432"/>
    <w:rsid w:val="2FF157A9"/>
    <w:rsid w:val="322F8D77"/>
    <w:rsid w:val="32FFDCF4"/>
    <w:rsid w:val="33FD7CCB"/>
    <w:rsid w:val="34BF23CA"/>
    <w:rsid w:val="35721053"/>
    <w:rsid w:val="37B65990"/>
    <w:rsid w:val="37FFC821"/>
    <w:rsid w:val="382216B2"/>
    <w:rsid w:val="397F4835"/>
    <w:rsid w:val="3A1330F2"/>
    <w:rsid w:val="3A7FC66B"/>
    <w:rsid w:val="3AF38A9F"/>
    <w:rsid w:val="3BAB5FF9"/>
    <w:rsid w:val="3BC789E4"/>
    <w:rsid w:val="3BF5414F"/>
    <w:rsid w:val="3CF278A5"/>
    <w:rsid w:val="3D377A37"/>
    <w:rsid w:val="3E5A32CC"/>
    <w:rsid w:val="3EABFD20"/>
    <w:rsid w:val="3F577F03"/>
    <w:rsid w:val="3F74B71D"/>
    <w:rsid w:val="3F7591AC"/>
    <w:rsid w:val="3F7F7B38"/>
    <w:rsid w:val="3F9E971E"/>
    <w:rsid w:val="3FAFB3F0"/>
    <w:rsid w:val="3FCA2DB0"/>
    <w:rsid w:val="3FCF95A0"/>
    <w:rsid w:val="3FE67BFD"/>
    <w:rsid w:val="3FECBBCF"/>
    <w:rsid w:val="3FEF5FD0"/>
    <w:rsid w:val="3FFF8B0C"/>
    <w:rsid w:val="3FFF99EB"/>
    <w:rsid w:val="409D0994"/>
    <w:rsid w:val="40D3586A"/>
    <w:rsid w:val="42734902"/>
    <w:rsid w:val="434F237B"/>
    <w:rsid w:val="459F2BB9"/>
    <w:rsid w:val="46B55186"/>
    <w:rsid w:val="47D649E4"/>
    <w:rsid w:val="47DCAA2A"/>
    <w:rsid w:val="487B629D"/>
    <w:rsid w:val="4BECDB94"/>
    <w:rsid w:val="4BFE1C3A"/>
    <w:rsid w:val="4CC79462"/>
    <w:rsid w:val="4CE65EC8"/>
    <w:rsid w:val="4CF52D2B"/>
    <w:rsid w:val="4D885499"/>
    <w:rsid w:val="4DBCAF98"/>
    <w:rsid w:val="4F2E85B3"/>
    <w:rsid w:val="4F56BCAE"/>
    <w:rsid w:val="4FBBA8E7"/>
    <w:rsid w:val="4FF90C46"/>
    <w:rsid w:val="50FFA8F5"/>
    <w:rsid w:val="5124435E"/>
    <w:rsid w:val="52C8224D"/>
    <w:rsid w:val="52FE2CFC"/>
    <w:rsid w:val="5304066C"/>
    <w:rsid w:val="53DC24A5"/>
    <w:rsid w:val="567D9FF2"/>
    <w:rsid w:val="56A079A9"/>
    <w:rsid w:val="56F47C99"/>
    <w:rsid w:val="57355C93"/>
    <w:rsid w:val="57AF7CBD"/>
    <w:rsid w:val="57BF14A4"/>
    <w:rsid w:val="57BF2D4E"/>
    <w:rsid w:val="57FBC24F"/>
    <w:rsid w:val="59FE933E"/>
    <w:rsid w:val="5A3BA224"/>
    <w:rsid w:val="5A71AEB9"/>
    <w:rsid w:val="5B3D294E"/>
    <w:rsid w:val="5B66CD05"/>
    <w:rsid w:val="5B936C7D"/>
    <w:rsid w:val="5BBAA36E"/>
    <w:rsid w:val="5BE30FD5"/>
    <w:rsid w:val="5C156303"/>
    <w:rsid w:val="5C778900"/>
    <w:rsid w:val="5D0532A1"/>
    <w:rsid w:val="5D1DE6AF"/>
    <w:rsid w:val="5D5DB9BF"/>
    <w:rsid w:val="5D7EC762"/>
    <w:rsid w:val="5D9B8458"/>
    <w:rsid w:val="5DA8389A"/>
    <w:rsid w:val="5E2D3596"/>
    <w:rsid w:val="5E431DA7"/>
    <w:rsid w:val="5E6E6FCB"/>
    <w:rsid w:val="5EAA15E3"/>
    <w:rsid w:val="5ED3F2F8"/>
    <w:rsid w:val="5EDF3FCC"/>
    <w:rsid w:val="5EF39E61"/>
    <w:rsid w:val="5F6B3EC6"/>
    <w:rsid w:val="5F76167B"/>
    <w:rsid w:val="5F77A50B"/>
    <w:rsid w:val="5FBC09DC"/>
    <w:rsid w:val="5FBF93F8"/>
    <w:rsid w:val="5FCD8710"/>
    <w:rsid w:val="5FD79816"/>
    <w:rsid w:val="5FF91180"/>
    <w:rsid w:val="5FFF4033"/>
    <w:rsid w:val="603C5668"/>
    <w:rsid w:val="60FB1283"/>
    <w:rsid w:val="64672D9D"/>
    <w:rsid w:val="64BC3D42"/>
    <w:rsid w:val="65BB0719"/>
    <w:rsid w:val="66F75819"/>
    <w:rsid w:val="67756519"/>
    <w:rsid w:val="6776621A"/>
    <w:rsid w:val="6776EECD"/>
    <w:rsid w:val="67BFA798"/>
    <w:rsid w:val="67F76754"/>
    <w:rsid w:val="67FFB696"/>
    <w:rsid w:val="68092E90"/>
    <w:rsid w:val="687879B5"/>
    <w:rsid w:val="6A7E02A3"/>
    <w:rsid w:val="6AFF30C7"/>
    <w:rsid w:val="6BDDE222"/>
    <w:rsid w:val="6D5C206F"/>
    <w:rsid w:val="6D775484"/>
    <w:rsid w:val="6DDBEAF2"/>
    <w:rsid w:val="6DEE0C3D"/>
    <w:rsid w:val="6DF30327"/>
    <w:rsid w:val="6DF7F1A7"/>
    <w:rsid w:val="6E5F1269"/>
    <w:rsid w:val="6E9FBDAE"/>
    <w:rsid w:val="6ECCCF76"/>
    <w:rsid w:val="6EFB32C4"/>
    <w:rsid w:val="6EFBB496"/>
    <w:rsid w:val="6EFBC478"/>
    <w:rsid w:val="6EFF6980"/>
    <w:rsid w:val="6F1F605E"/>
    <w:rsid w:val="6F22514C"/>
    <w:rsid w:val="6F7DB071"/>
    <w:rsid w:val="6F7DBAED"/>
    <w:rsid w:val="6FB7B644"/>
    <w:rsid w:val="6FC386D3"/>
    <w:rsid w:val="6FDF5465"/>
    <w:rsid w:val="6FE768E1"/>
    <w:rsid w:val="6FF173C5"/>
    <w:rsid w:val="71724535"/>
    <w:rsid w:val="737FB881"/>
    <w:rsid w:val="73DBDF4F"/>
    <w:rsid w:val="74BC0A09"/>
    <w:rsid w:val="74EF45E5"/>
    <w:rsid w:val="7633998C"/>
    <w:rsid w:val="7657D2FF"/>
    <w:rsid w:val="765D17AA"/>
    <w:rsid w:val="7677FD79"/>
    <w:rsid w:val="767A9CCE"/>
    <w:rsid w:val="769BEB66"/>
    <w:rsid w:val="769F1DDE"/>
    <w:rsid w:val="76BFBD97"/>
    <w:rsid w:val="76FBFB54"/>
    <w:rsid w:val="76FFD03C"/>
    <w:rsid w:val="770A4B72"/>
    <w:rsid w:val="7757E988"/>
    <w:rsid w:val="777F0B38"/>
    <w:rsid w:val="77BBE919"/>
    <w:rsid w:val="77BF73EE"/>
    <w:rsid w:val="77CA50CB"/>
    <w:rsid w:val="77EFBEC0"/>
    <w:rsid w:val="77FDD950"/>
    <w:rsid w:val="78676DA2"/>
    <w:rsid w:val="78FF0C4A"/>
    <w:rsid w:val="793FD923"/>
    <w:rsid w:val="79EFEE46"/>
    <w:rsid w:val="7AD751E6"/>
    <w:rsid w:val="7ADD5A4B"/>
    <w:rsid w:val="7B477872"/>
    <w:rsid w:val="7B7C85F6"/>
    <w:rsid w:val="7B7F99F7"/>
    <w:rsid w:val="7BE32814"/>
    <w:rsid w:val="7BEB4B96"/>
    <w:rsid w:val="7BF9D49F"/>
    <w:rsid w:val="7BFB9C09"/>
    <w:rsid w:val="7BFED7B9"/>
    <w:rsid w:val="7BFFCC84"/>
    <w:rsid w:val="7CEB6FDD"/>
    <w:rsid w:val="7CF60710"/>
    <w:rsid w:val="7D6F3F6E"/>
    <w:rsid w:val="7D702CBF"/>
    <w:rsid w:val="7DB69C1D"/>
    <w:rsid w:val="7DB898B0"/>
    <w:rsid w:val="7DBF6C92"/>
    <w:rsid w:val="7DBF6FC3"/>
    <w:rsid w:val="7DC203EF"/>
    <w:rsid w:val="7DEBE32E"/>
    <w:rsid w:val="7DFDABC5"/>
    <w:rsid w:val="7DFFE6B9"/>
    <w:rsid w:val="7E6E3063"/>
    <w:rsid w:val="7E7B7581"/>
    <w:rsid w:val="7EBF7693"/>
    <w:rsid w:val="7ED596DE"/>
    <w:rsid w:val="7ED8403E"/>
    <w:rsid w:val="7EDD4231"/>
    <w:rsid w:val="7EDDCF23"/>
    <w:rsid w:val="7EEECB49"/>
    <w:rsid w:val="7EF24F2E"/>
    <w:rsid w:val="7EF510E1"/>
    <w:rsid w:val="7EFBBB6A"/>
    <w:rsid w:val="7F1A165B"/>
    <w:rsid w:val="7F2726F7"/>
    <w:rsid w:val="7F3659DD"/>
    <w:rsid w:val="7F4EFBAB"/>
    <w:rsid w:val="7FBA276D"/>
    <w:rsid w:val="7FBA92BF"/>
    <w:rsid w:val="7FBF18BB"/>
    <w:rsid w:val="7FBF27C9"/>
    <w:rsid w:val="7FBFE23D"/>
    <w:rsid w:val="7FC402F3"/>
    <w:rsid w:val="7FCD388C"/>
    <w:rsid w:val="7FCF5311"/>
    <w:rsid w:val="7FD3B56F"/>
    <w:rsid w:val="7FD3DF7A"/>
    <w:rsid w:val="7FD59761"/>
    <w:rsid w:val="7FDB57AE"/>
    <w:rsid w:val="7FDD020F"/>
    <w:rsid w:val="7FDDFC52"/>
    <w:rsid w:val="7FDF94FE"/>
    <w:rsid w:val="7FE959D4"/>
    <w:rsid w:val="7FE9F66E"/>
    <w:rsid w:val="7FF1C953"/>
    <w:rsid w:val="7FF73C5C"/>
    <w:rsid w:val="7FFB2A11"/>
    <w:rsid w:val="7FFBCA6C"/>
    <w:rsid w:val="7FFCBB52"/>
    <w:rsid w:val="7FFD1A5A"/>
    <w:rsid w:val="7FFDE6C4"/>
    <w:rsid w:val="7FFE0384"/>
    <w:rsid w:val="7FFE2214"/>
    <w:rsid w:val="7FFE7E56"/>
    <w:rsid w:val="7FFEEAB1"/>
    <w:rsid w:val="7FFF6461"/>
    <w:rsid w:val="7FFF9DCF"/>
    <w:rsid w:val="7FFFAACE"/>
    <w:rsid w:val="7FFFBB9A"/>
    <w:rsid w:val="7FFFC904"/>
    <w:rsid w:val="7FFFE27B"/>
    <w:rsid w:val="8FAC40DD"/>
    <w:rsid w:val="8FFB7210"/>
    <w:rsid w:val="953CF2C0"/>
    <w:rsid w:val="95FF0838"/>
    <w:rsid w:val="96BFE3B4"/>
    <w:rsid w:val="9BF4CC77"/>
    <w:rsid w:val="9D1DE5AD"/>
    <w:rsid w:val="9DFC8868"/>
    <w:rsid w:val="9E7F6D0E"/>
    <w:rsid w:val="9EE3F9CB"/>
    <w:rsid w:val="9FFFBB1D"/>
    <w:rsid w:val="A3BF1983"/>
    <w:rsid w:val="A7FDF9E5"/>
    <w:rsid w:val="A97DC6E5"/>
    <w:rsid w:val="ACAB9145"/>
    <w:rsid w:val="AF7F3D93"/>
    <w:rsid w:val="AFF78324"/>
    <w:rsid w:val="AFFF5988"/>
    <w:rsid w:val="B22EE3F5"/>
    <w:rsid w:val="B3DB5112"/>
    <w:rsid w:val="B57F34EE"/>
    <w:rsid w:val="B5D3E807"/>
    <w:rsid w:val="B64E9AA2"/>
    <w:rsid w:val="B65D081B"/>
    <w:rsid w:val="B6EFCF94"/>
    <w:rsid w:val="B6FBB037"/>
    <w:rsid w:val="B78515B6"/>
    <w:rsid w:val="B97B9A6C"/>
    <w:rsid w:val="B9E82C00"/>
    <w:rsid w:val="BB7BF04C"/>
    <w:rsid w:val="BBBEB3B9"/>
    <w:rsid w:val="BBDDAD22"/>
    <w:rsid w:val="BBF784D5"/>
    <w:rsid w:val="BBFB331D"/>
    <w:rsid w:val="BBFBC53B"/>
    <w:rsid w:val="BC7A3A03"/>
    <w:rsid w:val="BCD35D82"/>
    <w:rsid w:val="BD9F306C"/>
    <w:rsid w:val="BDFFB04B"/>
    <w:rsid w:val="BEFBF8AE"/>
    <w:rsid w:val="BEFDAC19"/>
    <w:rsid w:val="BF17E40A"/>
    <w:rsid w:val="BF79D700"/>
    <w:rsid w:val="BF8F5EFC"/>
    <w:rsid w:val="BFBB7F69"/>
    <w:rsid w:val="BFBBC804"/>
    <w:rsid w:val="BFBD17F6"/>
    <w:rsid w:val="BFF7506B"/>
    <w:rsid w:val="BFF9B8B5"/>
    <w:rsid w:val="BFFE07AC"/>
    <w:rsid w:val="BFFEDEC9"/>
    <w:rsid w:val="CBEFDBE5"/>
    <w:rsid w:val="CBFB3A88"/>
    <w:rsid w:val="CD1CE5A8"/>
    <w:rsid w:val="CDADC8F6"/>
    <w:rsid w:val="CEDB29FD"/>
    <w:rsid w:val="CF5AD20B"/>
    <w:rsid w:val="CFBF9E0C"/>
    <w:rsid w:val="CFD45F3E"/>
    <w:rsid w:val="CFDD74AD"/>
    <w:rsid w:val="CFEF1A69"/>
    <w:rsid w:val="CFF729B4"/>
    <w:rsid w:val="CFFF8105"/>
    <w:rsid w:val="D00C654F"/>
    <w:rsid w:val="D3BFDC98"/>
    <w:rsid w:val="D4BFD733"/>
    <w:rsid w:val="D5AFD954"/>
    <w:rsid w:val="D6F65F69"/>
    <w:rsid w:val="D7B73E2D"/>
    <w:rsid w:val="D7D5B063"/>
    <w:rsid w:val="D7DF3200"/>
    <w:rsid w:val="D7EDCAE4"/>
    <w:rsid w:val="D8BED129"/>
    <w:rsid w:val="D9DD0218"/>
    <w:rsid w:val="DABD832B"/>
    <w:rsid w:val="DB0FD65F"/>
    <w:rsid w:val="DBCF93E4"/>
    <w:rsid w:val="DBFB861E"/>
    <w:rsid w:val="DC8CF85D"/>
    <w:rsid w:val="DCFF7647"/>
    <w:rsid w:val="DD6FA837"/>
    <w:rsid w:val="DD77B5A4"/>
    <w:rsid w:val="DD79929A"/>
    <w:rsid w:val="DDFDEE5C"/>
    <w:rsid w:val="DEF21AEA"/>
    <w:rsid w:val="DF3FD319"/>
    <w:rsid w:val="DF5FC09E"/>
    <w:rsid w:val="DF5FDBF5"/>
    <w:rsid w:val="DF6E6FA8"/>
    <w:rsid w:val="DF6F6F66"/>
    <w:rsid w:val="DF763E18"/>
    <w:rsid w:val="DF7B51FF"/>
    <w:rsid w:val="DFCD631D"/>
    <w:rsid w:val="DFDF16A2"/>
    <w:rsid w:val="DFDFE487"/>
    <w:rsid w:val="DFF70EBE"/>
    <w:rsid w:val="DFF75B03"/>
    <w:rsid w:val="DFFDAB4D"/>
    <w:rsid w:val="E59F70C6"/>
    <w:rsid w:val="E5AC0313"/>
    <w:rsid w:val="E5DDD62C"/>
    <w:rsid w:val="E6D782C9"/>
    <w:rsid w:val="E7377734"/>
    <w:rsid w:val="E73E4AA2"/>
    <w:rsid w:val="E73FD49E"/>
    <w:rsid w:val="E747E5B1"/>
    <w:rsid w:val="E7CF0952"/>
    <w:rsid w:val="E7FFB86A"/>
    <w:rsid w:val="E9BB69D1"/>
    <w:rsid w:val="E9DD9E86"/>
    <w:rsid w:val="E9FAF9DB"/>
    <w:rsid w:val="EA7D6A1C"/>
    <w:rsid w:val="EAC6EBA2"/>
    <w:rsid w:val="EB7C55CE"/>
    <w:rsid w:val="EBD64839"/>
    <w:rsid w:val="EBF2098E"/>
    <w:rsid w:val="EBF95241"/>
    <w:rsid w:val="ECF8707D"/>
    <w:rsid w:val="ECFC098C"/>
    <w:rsid w:val="ED778838"/>
    <w:rsid w:val="EDEF5FAF"/>
    <w:rsid w:val="EDFBA55E"/>
    <w:rsid w:val="EDFFD362"/>
    <w:rsid w:val="EE833D18"/>
    <w:rsid w:val="EEBB3AE4"/>
    <w:rsid w:val="EEBBFCD0"/>
    <w:rsid w:val="EF2C5A45"/>
    <w:rsid w:val="EF3E3B40"/>
    <w:rsid w:val="EF5DD43F"/>
    <w:rsid w:val="EF7CD5C7"/>
    <w:rsid w:val="EF7E6E9E"/>
    <w:rsid w:val="EFA29761"/>
    <w:rsid w:val="EFD718DC"/>
    <w:rsid w:val="EFEE3B86"/>
    <w:rsid w:val="EFFEFEF1"/>
    <w:rsid w:val="EFFFC86B"/>
    <w:rsid w:val="F067F7B3"/>
    <w:rsid w:val="F175DE6E"/>
    <w:rsid w:val="F1AF3140"/>
    <w:rsid w:val="F1EF3BB4"/>
    <w:rsid w:val="F2F70BD5"/>
    <w:rsid w:val="F32674EC"/>
    <w:rsid w:val="F35C437F"/>
    <w:rsid w:val="F3BECB28"/>
    <w:rsid w:val="F3D4F0FB"/>
    <w:rsid w:val="F3FF29D5"/>
    <w:rsid w:val="F5AF12E3"/>
    <w:rsid w:val="F678B364"/>
    <w:rsid w:val="F6847027"/>
    <w:rsid w:val="F6F306B5"/>
    <w:rsid w:val="F6FCF63B"/>
    <w:rsid w:val="F76D055D"/>
    <w:rsid w:val="F777CB51"/>
    <w:rsid w:val="F79F0A2B"/>
    <w:rsid w:val="F7DB9E8E"/>
    <w:rsid w:val="F7DFFA54"/>
    <w:rsid w:val="F7E941BE"/>
    <w:rsid w:val="F7EB8135"/>
    <w:rsid w:val="F7EFD973"/>
    <w:rsid w:val="F7F10F19"/>
    <w:rsid w:val="F7F78FC2"/>
    <w:rsid w:val="F7F7923C"/>
    <w:rsid w:val="F7FBEBD6"/>
    <w:rsid w:val="F7FD86A9"/>
    <w:rsid w:val="F7FE80A6"/>
    <w:rsid w:val="F7FEABFE"/>
    <w:rsid w:val="F7FEE7D6"/>
    <w:rsid w:val="F95B2566"/>
    <w:rsid w:val="F95D2D0C"/>
    <w:rsid w:val="F9775EF6"/>
    <w:rsid w:val="F9915982"/>
    <w:rsid w:val="FA5E43B0"/>
    <w:rsid w:val="FA7F2D32"/>
    <w:rsid w:val="FADAF42A"/>
    <w:rsid w:val="FAFD6A6C"/>
    <w:rsid w:val="FB770296"/>
    <w:rsid w:val="FB7D541F"/>
    <w:rsid w:val="FBBB6E4E"/>
    <w:rsid w:val="FBBB862E"/>
    <w:rsid w:val="FBD3B641"/>
    <w:rsid w:val="FBD60D50"/>
    <w:rsid w:val="FBD7D91A"/>
    <w:rsid w:val="FBED1DA1"/>
    <w:rsid w:val="FBEE1122"/>
    <w:rsid w:val="FBF2A993"/>
    <w:rsid w:val="FBF69385"/>
    <w:rsid w:val="FBF786CE"/>
    <w:rsid w:val="FBFD12DB"/>
    <w:rsid w:val="FBFF8A57"/>
    <w:rsid w:val="FBFFAF9E"/>
    <w:rsid w:val="FC9F03C6"/>
    <w:rsid w:val="FCEF02FE"/>
    <w:rsid w:val="FCF36734"/>
    <w:rsid w:val="FCFFC91B"/>
    <w:rsid w:val="FD25B837"/>
    <w:rsid w:val="FD2C4FC2"/>
    <w:rsid w:val="FD3939EA"/>
    <w:rsid w:val="FD567E99"/>
    <w:rsid w:val="FD6EC77F"/>
    <w:rsid w:val="FD724F2B"/>
    <w:rsid w:val="FD7791B7"/>
    <w:rsid w:val="FD9A0901"/>
    <w:rsid w:val="FDAE7F10"/>
    <w:rsid w:val="FDCBDAE5"/>
    <w:rsid w:val="FDF675BD"/>
    <w:rsid w:val="FE693A80"/>
    <w:rsid w:val="FE716898"/>
    <w:rsid w:val="FE7F5291"/>
    <w:rsid w:val="FE7FDC55"/>
    <w:rsid w:val="FEA76AB2"/>
    <w:rsid w:val="FEAF7D2B"/>
    <w:rsid w:val="FEBA5AA1"/>
    <w:rsid w:val="FEBFCBCB"/>
    <w:rsid w:val="FEDFF44D"/>
    <w:rsid w:val="FEFFEDFB"/>
    <w:rsid w:val="FF417BC5"/>
    <w:rsid w:val="FF56E499"/>
    <w:rsid w:val="FF5F5D15"/>
    <w:rsid w:val="FF8B1098"/>
    <w:rsid w:val="FF8FA386"/>
    <w:rsid w:val="FF9D85A2"/>
    <w:rsid w:val="FFBBCD2A"/>
    <w:rsid w:val="FFBE4EEE"/>
    <w:rsid w:val="FFBECBD4"/>
    <w:rsid w:val="FFBF5715"/>
    <w:rsid w:val="FFD98071"/>
    <w:rsid w:val="FFEE6296"/>
    <w:rsid w:val="FFEF3B77"/>
    <w:rsid w:val="FFF6DB4B"/>
    <w:rsid w:val="FFF7033A"/>
    <w:rsid w:val="FFFB7AA9"/>
    <w:rsid w:val="FFFEE13F"/>
    <w:rsid w:val="FFFFA9B3"/>
    <w:rsid w:val="FFFFB5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rPr>
      <w:rFonts w:ascii="Calibri" w:hAnsi="Calibri" w:eastAsia="宋体" w:cs="Times New Roman"/>
      <w:szCs w:val="21"/>
    </w:rPr>
  </w:style>
  <w:style w:type="paragraph" w:styleId="5">
    <w:name w:val="Body Text"/>
    <w:basedOn w:val="1"/>
    <w:semiHidden/>
    <w:qFormat/>
    <w:uiPriority w:val="0"/>
    <w:rPr>
      <w:rFonts w:ascii="宋体" w:hAnsi="宋体" w:eastAsia="宋体" w:cs="宋体"/>
      <w:sz w:val="23"/>
      <w:szCs w:val="23"/>
      <w:lang w:eastAsia="en-US"/>
    </w:rPr>
  </w:style>
  <w:style w:type="paragraph" w:styleId="6">
    <w:name w:val="Balloon Text"/>
    <w:basedOn w:val="1"/>
    <w:link w:val="21"/>
    <w:qFormat/>
    <w:uiPriority w:val="0"/>
    <w:rPr>
      <w:sz w:val="18"/>
      <w:szCs w:val="18"/>
    </w:rPr>
  </w:style>
  <w:style w:type="paragraph" w:styleId="7">
    <w:name w:val="toc 1"/>
    <w:basedOn w:val="1"/>
    <w:next w:val="1"/>
    <w:qFormat/>
    <w:uiPriority w:val="0"/>
  </w:style>
  <w:style w:type="paragraph" w:styleId="8">
    <w:name w:val="Normal (Web)"/>
    <w:basedOn w:val="1"/>
    <w:qFormat/>
    <w:uiPriority w:val="0"/>
    <w:pPr>
      <w:spacing w:beforeAutospacing="1" w:afterAutospacing="1" w:line="360" w:lineRule="atLeast"/>
      <w:jc w:val="left"/>
    </w:pPr>
    <w:rPr>
      <w:rFonts w:cs="Times New Roman"/>
      <w:kern w:val="0"/>
      <w:sz w:val="22"/>
      <w:szCs w:val="22"/>
    </w:rPr>
  </w:style>
  <w:style w:type="paragraph" w:styleId="9">
    <w:name w:val="annotation subject"/>
    <w:basedOn w:val="4"/>
    <w:next w:val="4"/>
    <w:link w:val="20"/>
    <w:qFormat/>
    <w:uiPriority w:val="0"/>
    <w:rPr>
      <w:rFonts w:asciiTheme="minorHAnsi" w:hAnsiTheme="minorHAnsi" w:eastAsiaTheme="minorEastAsia" w:cstheme="minorBidi"/>
      <w:b/>
      <w:bCs/>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FollowedHyperlink"/>
    <w:basedOn w:val="12"/>
    <w:qFormat/>
    <w:uiPriority w:val="0"/>
    <w:rPr>
      <w:color w:val="0000CC"/>
      <w:sz w:val="22"/>
      <w:szCs w:val="22"/>
      <w:u w:val="single"/>
    </w:rPr>
  </w:style>
  <w:style w:type="character" w:styleId="15">
    <w:name w:val="Hyperlink"/>
    <w:basedOn w:val="12"/>
    <w:qFormat/>
    <w:uiPriority w:val="0"/>
    <w:rPr>
      <w:b/>
      <w:bCs/>
      <w:color w:val="0000CC"/>
      <w:sz w:val="22"/>
      <w:szCs w:val="22"/>
      <w:u w:val="single"/>
    </w:rPr>
  </w:style>
  <w:style w:type="character" w:styleId="16">
    <w:name w:val="annotation reference"/>
    <w:basedOn w:val="12"/>
    <w:qFormat/>
    <w:uiPriority w:val="0"/>
    <w:rPr>
      <w:sz w:val="21"/>
      <w:szCs w:val="21"/>
    </w:rPr>
  </w:style>
  <w:style w:type="table" w:customStyle="1" w:styleId="17">
    <w:name w:val="Table Normal"/>
    <w:basedOn w:val="10"/>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微软雅黑" w:hAnsi="微软雅黑" w:eastAsia="微软雅黑" w:cs="微软雅黑"/>
      <w:sz w:val="16"/>
      <w:szCs w:val="16"/>
      <w:lang w:eastAsia="en-US"/>
    </w:rPr>
  </w:style>
  <w:style w:type="character" w:customStyle="1" w:styleId="19">
    <w:name w:val="批注文字 Char"/>
    <w:basedOn w:val="12"/>
    <w:link w:val="4"/>
    <w:qFormat/>
    <w:uiPriority w:val="0"/>
    <w:rPr>
      <w:rFonts w:ascii="Calibri" w:hAnsi="Calibri"/>
      <w:kern w:val="2"/>
      <w:sz w:val="21"/>
      <w:szCs w:val="21"/>
    </w:rPr>
  </w:style>
  <w:style w:type="character" w:customStyle="1" w:styleId="20">
    <w:name w:val="批注主题 Char"/>
    <w:basedOn w:val="19"/>
    <w:link w:val="9"/>
    <w:qFormat/>
    <w:uiPriority w:val="0"/>
    <w:rPr>
      <w:rFonts w:asciiTheme="minorHAnsi" w:hAnsiTheme="minorHAnsi" w:eastAsiaTheme="minorEastAsia" w:cstheme="minorBidi"/>
      <w:b/>
      <w:bCs/>
      <w:kern w:val="2"/>
      <w:sz w:val="21"/>
      <w:szCs w:val="24"/>
    </w:rPr>
  </w:style>
  <w:style w:type="character" w:customStyle="1" w:styleId="21">
    <w:name w:val="批注框文本 Char"/>
    <w:basedOn w:val="12"/>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61E775F6-60B7-4552-9C77-B7CCF5AB0566}">
  <ds:schemaRefs/>
</ds:datastoreItem>
</file>

<file path=docProps/app.xml><?xml version="1.0" encoding="utf-8"?>
<Properties xmlns="http://schemas.openxmlformats.org/officeDocument/2006/extended-properties" xmlns:vt="http://schemas.openxmlformats.org/officeDocument/2006/docPropsVTypes">
  <Company>P R C</Company>
  <Pages>49</Pages>
  <Words>7116</Words>
  <Characters>8221</Characters>
  <Lines>1</Lines>
  <Paragraphs>1</Paragraphs>
  <TotalTime>1</TotalTime>
  <ScaleCrop>false</ScaleCrop>
  <LinksUpToDate>false</LinksUpToDate>
  <CharactersWithSpaces>8485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2025-11-26T22:40:00Z</dcterms:created>
  <dc:creator>????307909</dc:creator>
  <cp:lastModifiedBy>巫朝敏</cp:lastModifiedBy>
  <dcterms:modified xsi:type="dcterms:W3CDTF">2026-08-21T09:48:32Z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3783705AB1594CADA4BF7FA912B97E39_13</vt:lpwstr>
  </property>
  <property fmtid="{D5CDD505-2E9C-101B-9397-08002B2CF9AE}" pid="4" name="KSOTemplateDocerSaveRecord">
    <vt:lpwstr>eyJoZGlkIjoiMTQ2NmQxMDFiZDJjNzc3OGM4NzMzYjQ4ZTc3N2Y2MWUiLCJ1c2VySWQiOiIxMjM3MDcyNDk0In0=</vt:lpwstr>
  </property>
</Properties>
</file>